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9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56"/>
        <w:gridCol w:w="2506"/>
        <w:gridCol w:w="2190"/>
      </w:tblGrid>
      <w:tr w:rsidR="0080310D" w14:paraId="0F7D8964" w14:textId="77777777">
        <w:trPr>
          <w:trHeight w:hRule="exact" w:val="615"/>
        </w:trPr>
        <w:tc>
          <w:tcPr>
            <w:tcW w:w="4856" w:type="dxa"/>
            <w:vMerge w:val="restart"/>
            <w:tcBorders>
              <w:bottom w:val="nil"/>
              <w:right w:val="single" w:sz="4" w:space="0" w:color="000000"/>
            </w:tcBorders>
          </w:tcPr>
          <w:p w14:paraId="3E46CC7F" w14:textId="77777777" w:rsidR="0080310D" w:rsidRDefault="004830AF">
            <w:pPr>
              <w:pStyle w:val="TableParagraph"/>
              <w:ind w:left="87"/>
              <w:rPr>
                <w:rFonts w:ascii="Times New Roman"/>
                <w:sz w:val="20"/>
              </w:rPr>
            </w:pPr>
            <w:r>
              <w:rPr>
                <w:rFonts w:ascii="Times New Roman"/>
                <w:noProof/>
                <w:sz w:val="20"/>
              </w:rPr>
              <w:drawing>
                <wp:inline distT="0" distB="0" distL="0" distR="0" wp14:anchorId="0920C553" wp14:editId="493EC530">
                  <wp:extent cx="2946659" cy="542925"/>
                  <wp:effectExtent l="0" t="0" r="0" b="0"/>
                  <wp:docPr id="5" name="Image 5" descr="P1C1T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P1C1T1#yIS1"/>
                          <pic:cNvPicPr/>
                        </pic:nvPicPr>
                        <pic:blipFill>
                          <a:blip r:embed="rId8" cstate="print"/>
                          <a:stretch>
                            <a:fillRect/>
                          </a:stretch>
                        </pic:blipFill>
                        <pic:spPr>
                          <a:xfrm>
                            <a:off x="0" y="0"/>
                            <a:ext cx="2946659" cy="542925"/>
                          </a:xfrm>
                          <a:prstGeom prst="rect">
                            <a:avLst/>
                          </a:prstGeom>
                        </pic:spPr>
                      </pic:pic>
                    </a:graphicData>
                  </a:graphic>
                </wp:inline>
              </w:drawing>
            </w:r>
          </w:p>
        </w:tc>
        <w:tc>
          <w:tcPr>
            <w:tcW w:w="2506" w:type="dxa"/>
            <w:tcBorders>
              <w:left w:val="single" w:sz="4" w:space="0" w:color="000000"/>
              <w:bottom w:val="nil"/>
              <w:right w:val="single" w:sz="4" w:space="0" w:color="000000"/>
            </w:tcBorders>
          </w:tcPr>
          <w:p w14:paraId="3D1FEB52" w14:textId="77777777" w:rsidR="0080310D" w:rsidRDefault="004830AF">
            <w:pPr>
              <w:pStyle w:val="TableParagraph"/>
              <w:spacing w:before="2"/>
              <w:ind w:left="103"/>
              <w:rPr>
                <w:b/>
                <w:sz w:val="24"/>
              </w:rPr>
            </w:pPr>
            <w:r>
              <w:rPr>
                <w:b/>
                <w:sz w:val="24"/>
              </w:rPr>
              <w:t>Effective</w:t>
            </w:r>
            <w:r>
              <w:rPr>
                <w:b/>
                <w:spacing w:val="-8"/>
                <w:sz w:val="24"/>
              </w:rPr>
              <w:t xml:space="preserve"> </w:t>
            </w:r>
            <w:r>
              <w:rPr>
                <w:b/>
                <w:spacing w:val="-2"/>
                <w:sz w:val="24"/>
              </w:rPr>
              <w:t>Date:</w:t>
            </w:r>
          </w:p>
        </w:tc>
        <w:tc>
          <w:tcPr>
            <w:tcW w:w="2190" w:type="dxa"/>
            <w:tcBorders>
              <w:left w:val="single" w:sz="4" w:space="0" w:color="000000"/>
              <w:bottom w:val="nil"/>
            </w:tcBorders>
          </w:tcPr>
          <w:p w14:paraId="0C9371B3" w14:textId="77777777" w:rsidR="0080310D" w:rsidRDefault="004830AF">
            <w:pPr>
              <w:pStyle w:val="TableParagraph"/>
              <w:spacing w:before="2"/>
              <w:ind w:left="102"/>
              <w:rPr>
                <w:b/>
                <w:sz w:val="24"/>
              </w:rPr>
            </w:pPr>
            <w:r>
              <w:rPr>
                <w:b/>
                <w:spacing w:val="-2"/>
                <w:sz w:val="24"/>
              </w:rPr>
              <w:t>Procedure Number:</w:t>
            </w:r>
          </w:p>
        </w:tc>
      </w:tr>
      <w:tr w:rsidR="0080310D" w14:paraId="16010F34" w14:textId="77777777">
        <w:trPr>
          <w:trHeight w:hRule="exact" w:val="371"/>
        </w:trPr>
        <w:tc>
          <w:tcPr>
            <w:tcW w:w="4856" w:type="dxa"/>
            <w:vMerge/>
            <w:tcBorders>
              <w:top w:val="nil"/>
              <w:bottom w:val="nil"/>
              <w:right w:val="single" w:sz="4" w:space="0" w:color="000000"/>
            </w:tcBorders>
          </w:tcPr>
          <w:p w14:paraId="5E0C7EFE" w14:textId="77777777" w:rsidR="0080310D" w:rsidRDefault="0080310D">
            <w:pPr>
              <w:rPr>
                <w:sz w:val="2"/>
                <w:szCs w:val="2"/>
              </w:rPr>
            </w:pPr>
          </w:p>
        </w:tc>
        <w:tc>
          <w:tcPr>
            <w:tcW w:w="2506" w:type="dxa"/>
            <w:tcBorders>
              <w:top w:val="nil"/>
              <w:left w:val="single" w:sz="4" w:space="0" w:color="000000"/>
              <w:bottom w:val="single" w:sz="4" w:space="0" w:color="000000"/>
              <w:right w:val="single" w:sz="4" w:space="0" w:color="000000"/>
            </w:tcBorders>
          </w:tcPr>
          <w:p w14:paraId="2070C2EC" w14:textId="0E0200B1" w:rsidR="0080310D" w:rsidRPr="000B16A6" w:rsidRDefault="000B16A6">
            <w:pPr>
              <w:pStyle w:val="TableParagraph"/>
              <w:spacing w:before="31"/>
              <w:ind w:left="103"/>
              <w:rPr>
                <w:sz w:val="24"/>
              </w:rPr>
            </w:pPr>
            <w:r>
              <w:rPr>
                <w:spacing w:val="-2"/>
                <w:sz w:val="24"/>
              </w:rPr>
              <w:t>07/15/2026</w:t>
            </w:r>
          </w:p>
        </w:tc>
        <w:tc>
          <w:tcPr>
            <w:tcW w:w="2190" w:type="dxa"/>
            <w:tcBorders>
              <w:top w:val="nil"/>
              <w:left w:val="single" w:sz="4" w:space="0" w:color="000000"/>
              <w:bottom w:val="single" w:sz="4" w:space="0" w:color="000000"/>
            </w:tcBorders>
          </w:tcPr>
          <w:p w14:paraId="20F299C0" w14:textId="77777777" w:rsidR="0080310D" w:rsidRPr="000B16A6" w:rsidRDefault="004830AF">
            <w:pPr>
              <w:pStyle w:val="TableParagraph"/>
              <w:spacing w:before="31"/>
              <w:ind w:left="102"/>
              <w:rPr>
                <w:sz w:val="24"/>
              </w:rPr>
            </w:pPr>
            <w:r w:rsidRPr="000B16A6">
              <w:rPr>
                <w:spacing w:val="-2"/>
                <w:sz w:val="24"/>
              </w:rPr>
              <w:t>EHS_SOP350</w:t>
            </w:r>
          </w:p>
        </w:tc>
      </w:tr>
      <w:tr w:rsidR="0080310D" w14:paraId="15661E7D" w14:textId="77777777">
        <w:trPr>
          <w:trHeight w:hRule="exact" w:val="520"/>
        </w:trPr>
        <w:tc>
          <w:tcPr>
            <w:tcW w:w="4856" w:type="dxa"/>
            <w:vMerge w:val="restart"/>
            <w:tcBorders>
              <w:top w:val="nil"/>
              <w:bottom w:val="nil"/>
              <w:right w:val="single" w:sz="4" w:space="0" w:color="000000"/>
            </w:tcBorders>
          </w:tcPr>
          <w:p w14:paraId="41B0F710" w14:textId="77777777" w:rsidR="0080310D" w:rsidRDefault="0080310D">
            <w:pPr>
              <w:pStyle w:val="TableParagraph"/>
              <w:spacing w:before="12"/>
              <w:ind w:left="0"/>
              <w:rPr>
                <w:rFonts w:ascii="Times New Roman"/>
                <w:sz w:val="24"/>
              </w:rPr>
            </w:pPr>
          </w:p>
          <w:p w14:paraId="3D02EAFE" w14:textId="77777777" w:rsidR="0080310D" w:rsidRDefault="004830AF">
            <w:pPr>
              <w:pStyle w:val="TableParagraph"/>
              <w:ind w:left="87"/>
              <w:rPr>
                <w:b/>
                <w:sz w:val="24"/>
              </w:rPr>
            </w:pPr>
            <w:r>
              <w:rPr>
                <w:b/>
                <w:spacing w:val="-2"/>
                <w:sz w:val="24"/>
              </w:rPr>
              <w:t>TITLE:</w:t>
            </w:r>
          </w:p>
        </w:tc>
        <w:tc>
          <w:tcPr>
            <w:tcW w:w="2506" w:type="dxa"/>
            <w:tcBorders>
              <w:top w:val="single" w:sz="4" w:space="0" w:color="000000"/>
              <w:left w:val="single" w:sz="4" w:space="0" w:color="000000"/>
              <w:bottom w:val="single" w:sz="4" w:space="0" w:color="000000"/>
              <w:right w:val="single" w:sz="4" w:space="0" w:color="000000"/>
            </w:tcBorders>
          </w:tcPr>
          <w:p w14:paraId="33FDE55F" w14:textId="2446E178" w:rsidR="0080310D" w:rsidRDefault="004830AF">
            <w:pPr>
              <w:pStyle w:val="TableParagraph"/>
              <w:ind w:left="103"/>
              <w:rPr>
                <w:b/>
                <w:sz w:val="24"/>
              </w:rPr>
            </w:pPr>
            <w:r>
              <w:rPr>
                <w:b/>
                <w:sz w:val="24"/>
              </w:rPr>
              <w:t>Revision:</w:t>
            </w:r>
            <w:r>
              <w:rPr>
                <w:b/>
                <w:spacing w:val="-5"/>
                <w:sz w:val="24"/>
              </w:rPr>
              <w:t xml:space="preserve"> </w:t>
            </w:r>
            <w:r w:rsidR="000B16A6">
              <w:rPr>
                <w:b/>
                <w:spacing w:val="-10"/>
                <w:sz w:val="24"/>
              </w:rPr>
              <w:t>4</w:t>
            </w:r>
          </w:p>
        </w:tc>
        <w:tc>
          <w:tcPr>
            <w:tcW w:w="2190" w:type="dxa"/>
            <w:tcBorders>
              <w:top w:val="single" w:sz="4" w:space="0" w:color="000000"/>
              <w:left w:val="single" w:sz="4" w:space="0" w:color="000000"/>
              <w:bottom w:val="single" w:sz="4" w:space="0" w:color="000000"/>
            </w:tcBorders>
          </w:tcPr>
          <w:p w14:paraId="2E5531D9" w14:textId="77777777" w:rsidR="0080310D" w:rsidRDefault="004830AF">
            <w:pPr>
              <w:pStyle w:val="TableParagraph"/>
              <w:ind w:left="102"/>
              <w:rPr>
                <w:sz w:val="24"/>
              </w:rPr>
            </w:pPr>
            <w:bookmarkStart w:id="0" w:name="Page_1_of_21"/>
            <w:bookmarkEnd w:id="0"/>
            <w:r>
              <w:rPr>
                <w:b/>
                <w:sz w:val="24"/>
              </w:rPr>
              <w:t>Page</w:t>
            </w:r>
            <w:r>
              <w:rPr>
                <w:b/>
                <w:spacing w:val="-3"/>
                <w:sz w:val="24"/>
              </w:rPr>
              <w:t xml:space="preserve"> </w:t>
            </w:r>
            <w:r>
              <w:rPr>
                <w:sz w:val="24"/>
              </w:rPr>
              <w:t xml:space="preserve">1 of </w:t>
            </w:r>
            <w:r>
              <w:rPr>
                <w:spacing w:val="-5"/>
                <w:sz w:val="24"/>
              </w:rPr>
              <w:t>21</w:t>
            </w:r>
          </w:p>
        </w:tc>
      </w:tr>
      <w:tr w:rsidR="0080310D" w14:paraId="113C192E" w14:textId="77777777">
        <w:trPr>
          <w:trHeight w:hRule="exact" w:val="77"/>
        </w:trPr>
        <w:tc>
          <w:tcPr>
            <w:tcW w:w="4856" w:type="dxa"/>
            <w:vMerge/>
            <w:tcBorders>
              <w:top w:val="nil"/>
              <w:bottom w:val="nil"/>
              <w:right w:val="single" w:sz="4" w:space="0" w:color="000000"/>
            </w:tcBorders>
          </w:tcPr>
          <w:p w14:paraId="09AC4DEC" w14:textId="77777777" w:rsidR="0080310D" w:rsidRDefault="0080310D">
            <w:pPr>
              <w:rPr>
                <w:sz w:val="2"/>
                <w:szCs w:val="2"/>
              </w:rPr>
            </w:pPr>
          </w:p>
        </w:tc>
        <w:tc>
          <w:tcPr>
            <w:tcW w:w="2506" w:type="dxa"/>
            <w:vMerge w:val="restart"/>
            <w:tcBorders>
              <w:top w:val="single" w:sz="4" w:space="0" w:color="000000"/>
              <w:left w:val="single" w:sz="4" w:space="0" w:color="000000"/>
              <w:bottom w:val="nil"/>
              <w:right w:val="nil"/>
            </w:tcBorders>
          </w:tcPr>
          <w:p w14:paraId="3236062A" w14:textId="77777777" w:rsidR="0080310D" w:rsidRDefault="004830AF">
            <w:pPr>
              <w:pStyle w:val="TableParagraph"/>
              <w:spacing w:before="2"/>
              <w:ind w:left="103"/>
              <w:rPr>
                <w:b/>
                <w:sz w:val="24"/>
              </w:rPr>
            </w:pPr>
            <w:r>
              <w:rPr>
                <w:b/>
                <w:sz w:val="24"/>
              </w:rPr>
              <w:t>Approved</w:t>
            </w:r>
            <w:r>
              <w:rPr>
                <w:b/>
                <w:spacing w:val="-5"/>
                <w:sz w:val="24"/>
              </w:rPr>
              <w:t xml:space="preserve"> by</w:t>
            </w:r>
          </w:p>
        </w:tc>
        <w:tc>
          <w:tcPr>
            <w:tcW w:w="2190" w:type="dxa"/>
            <w:vMerge w:val="restart"/>
            <w:tcBorders>
              <w:top w:val="single" w:sz="4" w:space="0" w:color="000000"/>
              <w:left w:val="nil"/>
              <w:bottom w:val="nil"/>
            </w:tcBorders>
          </w:tcPr>
          <w:p w14:paraId="5D975245" w14:textId="77777777" w:rsidR="0080310D" w:rsidRDefault="0080310D">
            <w:pPr>
              <w:pStyle w:val="TableParagraph"/>
              <w:ind w:left="0"/>
              <w:rPr>
                <w:rFonts w:ascii="Times New Roman"/>
                <w:sz w:val="24"/>
              </w:rPr>
            </w:pPr>
          </w:p>
        </w:tc>
      </w:tr>
      <w:tr w:rsidR="0080310D" w14:paraId="5B135F2D" w14:textId="77777777">
        <w:trPr>
          <w:trHeight w:hRule="exact" w:val="244"/>
        </w:trPr>
        <w:tc>
          <w:tcPr>
            <w:tcW w:w="4856" w:type="dxa"/>
            <w:vMerge w:val="restart"/>
            <w:tcBorders>
              <w:top w:val="nil"/>
              <w:bottom w:val="nil"/>
              <w:right w:val="single" w:sz="4" w:space="0" w:color="000000"/>
            </w:tcBorders>
          </w:tcPr>
          <w:p w14:paraId="499EB3B5" w14:textId="77777777" w:rsidR="0080310D" w:rsidRDefault="004830AF">
            <w:pPr>
              <w:pStyle w:val="TableParagraph"/>
              <w:tabs>
                <w:tab w:val="left" w:pos="1542"/>
                <w:tab w:val="left" w:pos="1967"/>
                <w:tab w:val="left" w:pos="3459"/>
                <w:tab w:val="left" w:pos="4324"/>
              </w:tabs>
              <w:spacing w:before="26"/>
              <w:ind w:left="87" w:right="99"/>
              <w:rPr>
                <w:sz w:val="24"/>
              </w:rPr>
            </w:pPr>
            <w:r>
              <w:rPr>
                <w:spacing w:val="-2"/>
                <w:sz w:val="24"/>
              </w:rPr>
              <w:t>Possession</w:t>
            </w:r>
            <w:r>
              <w:rPr>
                <w:sz w:val="24"/>
              </w:rPr>
              <w:tab/>
            </w:r>
            <w:r>
              <w:rPr>
                <w:spacing w:val="-6"/>
                <w:sz w:val="24"/>
              </w:rPr>
              <w:t>of</w:t>
            </w:r>
            <w:r>
              <w:rPr>
                <w:sz w:val="24"/>
              </w:rPr>
              <w:tab/>
            </w:r>
            <w:r>
              <w:rPr>
                <w:spacing w:val="-2"/>
                <w:sz w:val="24"/>
              </w:rPr>
              <w:t>Prescription</w:t>
            </w:r>
            <w:r>
              <w:rPr>
                <w:sz w:val="24"/>
              </w:rPr>
              <w:tab/>
            </w:r>
            <w:r>
              <w:rPr>
                <w:spacing w:val="-4"/>
                <w:sz w:val="24"/>
              </w:rPr>
              <w:t>Drugs</w:t>
            </w:r>
            <w:r>
              <w:rPr>
                <w:sz w:val="24"/>
              </w:rPr>
              <w:tab/>
            </w:r>
            <w:r>
              <w:rPr>
                <w:spacing w:val="-4"/>
                <w:sz w:val="24"/>
              </w:rPr>
              <w:t xml:space="preserve">and </w:t>
            </w:r>
            <w:r>
              <w:rPr>
                <w:sz w:val="24"/>
              </w:rPr>
              <w:t>Controlled Substances Procedure</w:t>
            </w:r>
          </w:p>
        </w:tc>
        <w:tc>
          <w:tcPr>
            <w:tcW w:w="2506" w:type="dxa"/>
            <w:vMerge/>
            <w:tcBorders>
              <w:top w:val="nil"/>
              <w:left w:val="single" w:sz="4" w:space="0" w:color="000000"/>
              <w:bottom w:val="nil"/>
              <w:right w:val="nil"/>
            </w:tcBorders>
          </w:tcPr>
          <w:p w14:paraId="6860F0DB" w14:textId="77777777" w:rsidR="0080310D" w:rsidRDefault="0080310D">
            <w:pPr>
              <w:rPr>
                <w:sz w:val="2"/>
                <w:szCs w:val="2"/>
              </w:rPr>
            </w:pPr>
          </w:p>
        </w:tc>
        <w:tc>
          <w:tcPr>
            <w:tcW w:w="2190" w:type="dxa"/>
            <w:vMerge/>
            <w:tcBorders>
              <w:top w:val="nil"/>
              <w:left w:val="nil"/>
              <w:bottom w:val="nil"/>
            </w:tcBorders>
          </w:tcPr>
          <w:p w14:paraId="6A04F40C" w14:textId="77777777" w:rsidR="0080310D" w:rsidRDefault="0080310D">
            <w:pPr>
              <w:rPr>
                <w:sz w:val="2"/>
                <w:szCs w:val="2"/>
              </w:rPr>
            </w:pPr>
          </w:p>
        </w:tc>
      </w:tr>
      <w:tr w:rsidR="0080310D" w14:paraId="57063F5F" w14:textId="77777777">
        <w:trPr>
          <w:trHeight w:hRule="exact" w:val="616"/>
        </w:trPr>
        <w:tc>
          <w:tcPr>
            <w:tcW w:w="4856" w:type="dxa"/>
            <w:vMerge/>
            <w:tcBorders>
              <w:top w:val="nil"/>
              <w:bottom w:val="nil"/>
              <w:right w:val="single" w:sz="4" w:space="0" w:color="000000"/>
            </w:tcBorders>
          </w:tcPr>
          <w:p w14:paraId="113733FE" w14:textId="77777777" w:rsidR="0080310D" w:rsidRDefault="0080310D">
            <w:pPr>
              <w:rPr>
                <w:sz w:val="2"/>
                <w:szCs w:val="2"/>
              </w:rPr>
            </w:pPr>
          </w:p>
        </w:tc>
        <w:tc>
          <w:tcPr>
            <w:tcW w:w="4696" w:type="dxa"/>
            <w:gridSpan w:val="2"/>
            <w:tcBorders>
              <w:top w:val="nil"/>
              <w:left w:val="single" w:sz="4" w:space="0" w:color="000000"/>
              <w:bottom w:val="nil"/>
            </w:tcBorders>
          </w:tcPr>
          <w:p w14:paraId="0DD2474E" w14:textId="56E6352A" w:rsidR="0080310D" w:rsidRDefault="00031C47">
            <w:pPr>
              <w:pStyle w:val="TableParagraph"/>
              <w:tabs>
                <w:tab w:val="left" w:pos="1146"/>
                <w:tab w:val="left" w:pos="1555"/>
                <w:tab w:val="left" w:pos="3292"/>
                <w:tab w:val="left" w:pos="4190"/>
              </w:tabs>
              <w:spacing w:before="31"/>
              <w:ind w:left="103" w:right="81"/>
              <w:rPr>
                <w:sz w:val="24"/>
              </w:rPr>
            </w:pPr>
            <w:r>
              <w:rPr>
                <w:spacing w:val="-2"/>
                <w:sz w:val="24"/>
              </w:rPr>
              <w:t>Biological Safety Officer</w:t>
            </w:r>
          </w:p>
        </w:tc>
      </w:tr>
      <w:tr w:rsidR="0080310D" w14:paraId="0C2FE27A" w14:textId="77777777">
        <w:trPr>
          <w:trHeight w:hRule="exact" w:val="383"/>
        </w:trPr>
        <w:tc>
          <w:tcPr>
            <w:tcW w:w="4856" w:type="dxa"/>
            <w:tcBorders>
              <w:top w:val="nil"/>
              <w:right w:val="single" w:sz="4" w:space="0" w:color="000000"/>
            </w:tcBorders>
          </w:tcPr>
          <w:p w14:paraId="25B9F6A8" w14:textId="77777777" w:rsidR="0080310D" w:rsidRDefault="0080310D">
            <w:pPr>
              <w:pStyle w:val="TableParagraph"/>
              <w:ind w:left="0"/>
              <w:rPr>
                <w:rFonts w:ascii="Times New Roman"/>
                <w:sz w:val="24"/>
              </w:rPr>
            </w:pPr>
          </w:p>
        </w:tc>
        <w:tc>
          <w:tcPr>
            <w:tcW w:w="4696" w:type="dxa"/>
            <w:gridSpan w:val="2"/>
            <w:tcBorders>
              <w:top w:val="nil"/>
              <w:left w:val="single" w:sz="4" w:space="0" w:color="000000"/>
            </w:tcBorders>
          </w:tcPr>
          <w:p w14:paraId="6A384805" w14:textId="1BD4D3CA" w:rsidR="0080310D" w:rsidRDefault="004830AF">
            <w:pPr>
              <w:pStyle w:val="TableParagraph"/>
              <w:spacing w:before="26"/>
              <w:ind w:left="103"/>
              <w:rPr>
                <w:sz w:val="24"/>
              </w:rPr>
            </w:pPr>
            <w:r>
              <w:rPr>
                <w:b/>
                <w:sz w:val="24"/>
              </w:rPr>
              <w:t>Date</w:t>
            </w:r>
            <w:r>
              <w:rPr>
                <w:sz w:val="24"/>
              </w:rPr>
              <w:t>:</w:t>
            </w:r>
            <w:r>
              <w:rPr>
                <w:spacing w:val="-1"/>
                <w:sz w:val="24"/>
              </w:rPr>
              <w:t xml:space="preserve"> </w:t>
            </w:r>
            <w:r w:rsidR="000B16A6">
              <w:rPr>
                <w:spacing w:val="-2"/>
                <w:sz w:val="24"/>
              </w:rPr>
              <w:t>07/15/2026</w:t>
            </w:r>
          </w:p>
        </w:tc>
      </w:tr>
    </w:tbl>
    <w:p w14:paraId="2410230F" w14:textId="77777777" w:rsidR="0080310D" w:rsidRDefault="0080310D">
      <w:pPr>
        <w:pStyle w:val="BodyText"/>
        <w:spacing w:before="22"/>
        <w:rPr>
          <w:rFonts w:ascii="Times New Roman"/>
        </w:rPr>
      </w:pPr>
    </w:p>
    <w:p w14:paraId="1A1DCDE5" w14:textId="77777777" w:rsidR="0080310D" w:rsidRDefault="004830AF">
      <w:pPr>
        <w:pStyle w:val="Heading1"/>
        <w:numPr>
          <w:ilvl w:val="0"/>
          <w:numId w:val="6"/>
        </w:numPr>
        <w:tabs>
          <w:tab w:val="left" w:pos="1439"/>
        </w:tabs>
        <w:ind w:left="1439" w:hanging="359"/>
      </w:pPr>
      <w:bookmarkStart w:id="1" w:name="1._APPLICABILITY"/>
      <w:bookmarkEnd w:id="1"/>
      <w:r>
        <w:rPr>
          <w:spacing w:val="-2"/>
        </w:rPr>
        <w:t>APPLICABILITY</w:t>
      </w:r>
    </w:p>
    <w:p w14:paraId="04707CB2" w14:textId="77777777" w:rsidR="0080310D" w:rsidRDefault="0080310D">
      <w:pPr>
        <w:pStyle w:val="BodyText"/>
        <w:rPr>
          <w:b/>
        </w:rPr>
      </w:pPr>
    </w:p>
    <w:p w14:paraId="6A6C7C79" w14:textId="77777777" w:rsidR="0080310D" w:rsidRDefault="004830AF">
      <w:pPr>
        <w:pStyle w:val="BodyText"/>
        <w:ind w:left="720" w:right="712"/>
        <w:jc w:val="both"/>
      </w:pPr>
      <w:r>
        <w:t>This procedure applies to all faculty, visiting scholars, staff, students, and affiliates who procure, store, or use controlled substances or prescription drugs for lawful research, teaching, and testing purposes at the University of Central Florida (UCF.) Environmental Health and Safety (EHS) is the designated</w:t>
      </w:r>
      <w:r>
        <w:rPr>
          <w:spacing w:val="40"/>
        </w:rPr>
        <w:t xml:space="preserve"> </w:t>
      </w:r>
      <w:r>
        <w:t xml:space="preserve">authority for compliance with this procedure, as per </w:t>
      </w:r>
      <w:hyperlink r:id="rId9">
        <w:r>
          <w:rPr>
            <w:color w:val="0000FF"/>
            <w:u w:val="single" w:color="0000FF"/>
          </w:rPr>
          <w:t>UCF Policy 3-122,</w:t>
        </w:r>
      </w:hyperlink>
      <w:r>
        <w:rPr>
          <w:color w:val="0000FF"/>
        </w:rPr>
        <w:t xml:space="preserve"> </w:t>
      </w:r>
      <w:r>
        <w:t xml:space="preserve">Campus Safety and Health Policy, and </w:t>
      </w:r>
      <w:hyperlink r:id="rId10">
        <w:r>
          <w:rPr>
            <w:color w:val="0000FF"/>
            <w:u w:val="single" w:color="0000FF"/>
          </w:rPr>
          <w:t>UCF Policy 3-107.2</w:t>
        </w:r>
      </w:hyperlink>
      <w:r>
        <w:t>, Procurement, Use, and Possession of Hazardous Materials and Regulated Devices and Equipment.</w:t>
      </w:r>
    </w:p>
    <w:p w14:paraId="5EF0168E" w14:textId="77777777" w:rsidR="0080310D" w:rsidRDefault="0080310D">
      <w:pPr>
        <w:pStyle w:val="BodyText"/>
      </w:pPr>
    </w:p>
    <w:p w14:paraId="3B9E354E" w14:textId="2EC3E4EA" w:rsidR="0080310D" w:rsidRDefault="004830AF">
      <w:pPr>
        <w:pStyle w:val="BodyText"/>
        <w:ind w:left="720" w:right="712"/>
        <w:jc w:val="both"/>
      </w:pPr>
      <w:r>
        <w:t xml:space="preserve">Authorized users with access to controlled substances must review and sign the </w:t>
      </w:r>
      <w:hyperlink r:id="rId11">
        <w:r>
          <w:rPr>
            <w:color w:val="0000FF"/>
            <w:u w:val="single" w:color="0000FF"/>
          </w:rPr>
          <w:t>EHS_SOP350_FORM002</w:t>
        </w:r>
      </w:hyperlink>
      <w:r>
        <w:rPr>
          <w:color w:val="0000FF"/>
        </w:rPr>
        <w:t xml:space="preserve"> </w:t>
      </w:r>
      <w:r>
        <w:t>Controlled Substances and Prescription Drugs Procedure Consent Form, and acknowledge to abide by all policies and procedures that regulate the use of controlled substances for research purposes. The consent must be reviewed and signed every</w:t>
      </w:r>
      <w:r>
        <w:rPr>
          <w:spacing w:val="-1"/>
        </w:rPr>
        <w:t xml:space="preserve"> </w:t>
      </w:r>
      <w:r>
        <w:t>three years</w:t>
      </w:r>
      <w:r>
        <w:rPr>
          <w:spacing w:val="-1"/>
        </w:rPr>
        <w:t xml:space="preserve"> </w:t>
      </w:r>
      <w:r>
        <w:t xml:space="preserve">from the date of the first submitted consent form. The Consent Form must be submitted to the </w:t>
      </w:r>
      <w:r w:rsidR="00696032">
        <w:t>Biological Safety Officer</w:t>
      </w:r>
      <w:r>
        <w:t>.</w:t>
      </w:r>
    </w:p>
    <w:p w14:paraId="3F6FC482" w14:textId="77777777" w:rsidR="0080310D" w:rsidRDefault="0080310D">
      <w:pPr>
        <w:pStyle w:val="BodyText"/>
      </w:pPr>
    </w:p>
    <w:p w14:paraId="3DD27A88" w14:textId="77777777" w:rsidR="0080310D" w:rsidRDefault="004830AF">
      <w:pPr>
        <w:pStyle w:val="BodyText"/>
        <w:ind w:left="720" w:right="714"/>
        <w:jc w:val="both"/>
      </w:pPr>
      <w:r>
        <w:t>If controlled substances are proposed to be administered as part of a research protocol or if research is to be conducted on the drugs themselves, the applicant must ensure that all DEA requirements, including registration, inspection, and certification, as applicable, are met. Regional DEA offices can supply forms and information concerning the type of registration required for a particular substance for research use.</w:t>
      </w:r>
      <w:r>
        <w:rPr>
          <w:spacing w:val="-1"/>
        </w:rPr>
        <w:t xml:space="preserve"> </w:t>
      </w:r>
      <w:r>
        <w:t>The</w:t>
      </w:r>
      <w:r>
        <w:rPr>
          <w:spacing w:val="-3"/>
        </w:rPr>
        <w:t xml:space="preserve"> </w:t>
      </w:r>
      <w:r>
        <w:t>main</w:t>
      </w:r>
      <w:r>
        <w:rPr>
          <w:spacing w:val="-1"/>
        </w:rPr>
        <w:t xml:space="preserve"> </w:t>
      </w:r>
      <w:r>
        <w:t>registration</w:t>
      </w:r>
      <w:r>
        <w:rPr>
          <w:spacing w:val="-1"/>
        </w:rPr>
        <w:t xml:space="preserve"> </w:t>
      </w:r>
      <w:r>
        <w:t>office</w:t>
      </w:r>
      <w:r>
        <w:rPr>
          <w:spacing w:val="-1"/>
        </w:rPr>
        <w:t xml:space="preserve"> </w:t>
      </w:r>
      <w:r>
        <w:t>in</w:t>
      </w:r>
      <w:r>
        <w:rPr>
          <w:spacing w:val="-6"/>
        </w:rPr>
        <w:t xml:space="preserve"> </w:t>
      </w:r>
      <w:r>
        <w:t>Washington,</w:t>
      </w:r>
      <w:r>
        <w:rPr>
          <w:spacing w:val="-1"/>
        </w:rPr>
        <w:t xml:space="preserve"> </w:t>
      </w:r>
      <w:r>
        <w:t>DC may</w:t>
      </w:r>
      <w:r>
        <w:rPr>
          <w:spacing w:val="-2"/>
        </w:rPr>
        <w:t xml:space="preserve"> </w:t>
      </w:r>
      <w:r>
        <w:t>be reached at 800-882-9539. Information also is available from the National Institute on Drug Abuse at 800-662-4357.</w:t>
      </w:r>
    </w:p>
    <w:p w14:paraId="4EB37BF0" w14:textId="77777777" w:rsidR="0080310D" w:rsidRDefault="0080310D">
      <w:pPr>
        <w:pStyle w:val="BodyText"/>
      </w:pPr>
    </w:p>
    <w:p w14:paraId="56A6796F" w14:textId="77777777" w:rsidR="0080310D" w:rsidRDefault="004830AF">
      <w:pPr>
        <w:pStyle w:val="Heading1"/>
        <w:numPr>
          <w:ilvl w:val="0"/>
          <w:numId w:val="6"/>
        </w:numPr>
        <w:tabs>
          <w:tab w:val="left" w:pos="1439"/>
        </w:tabs>
        <w:spacing w:before="1"/>
        <w:ind w:left="1439" w:hanging="359"/>
      </w:pPr>
      <w:bookmarkStart w:id="2" w:name="2._PROCEDURE_STATEMENT"/>
      <w:bookmarkEnd w:id="2"/>
      <w:r>
        <w:t>PROCEDURE</w:t>
      </w:r>
      <w:r>
        <w:rPr>
          <w:spacing w:val="-4"/>
        </w:rPr>
        <w:t xml:space="preserve"> </w:t>
      </w:r>
      <w:r>
        <w:rPr>
          <w:spacing w:val="-2"/>
        </w:rPr>
        <w:t>STATEMENT</w:t>
      </w:r>
    </w:p>
    <w:p w14:paraId="4B8D6998" w14:textId="77777777" w:rsidR="0080310D" w:rsidRDefault="004830AF">
      <w:pPr>
        <w:pStyle w:val="BodyText"/>
        <w:spacing w:before="276"/>
        <w:ind w:left="720" w:right="712"/>
        <w:jc w:val="both"/>
      </w:pPr>
      <w:r>
        <w:t>University researchers may in the course of lawful research, teaching, or testing, find it necessary to use prescription or legend drugs, including DEA analytical standards or federally-controlled substances. Various federal and state statutes and regulations address such use. UCF has the responsibility to ensure that all departments, units, and employees comply with all applicable laws and requirements with regard to these substances. Prescription or legend drugs and</w:t>
      </w:r>
    </w:p>
    <w:p w14:paraId="0B18D6FF" w14:textId="77777777" w:rsidR="0080310D" w:rsidRDefault="0080310D">
      <w:pPr>
        <w:pStyle w:val="BodyText"/>
        <w:jc w:val="both"/>
        <w:sectPr w:rsidR="0080310D">
          <w:footerReference w:type="default" r:id="rId12"/>
          <w:type w:val="continuous"/>
          <w:pgSz w:w="12240" w:h="15840"/>
          <w:pgMar w:top="1420" w:right="1080" w:bottom="1300" w:left="1080" w:header="0" w:footer="1100" w:gutter="0"/>
          <w:pgNumType w:start="1"/>
          <w:cols w:space="720"/>
        </w:sectPr>
      </w:pPr>
    </w:p>
    <w:p w14:paraId="52FCA1E5" w14:textId="77777777" w:rsidR="0080310D" w:rsidRDefault="004830AF">
      <w:pPr>
        <w:pStyle w:val="BodyText"/>
        <w:spacing w:before="80"/>
        <w:ind w:left="720" w:right="715"/>
      </w:pPr>
      <w:r>
        <w:lastRenderedPageBreak/>
        <w:t>controlled</w:t>
      </w:r>
      <w:r>
        <w:rPr>
          <w:spacing w:val="40"/>
        </w:rPr>
        <w:t xml:space="preserve"> </w:t>
      </w:r>
      <w:r>
        <w:t>substances</w:t>
      </w:r>
      <w:r>
        <w:rPr>
          <w:spacing w:val="40"/>
        </w:rPr>
        <w:t xml:space="preserve"> </w:t>
      </w:r>
      <w:r>
        <w:t>are</w:t>
      </w:r>
      <w:r>
        <w:rPr>
          <w:spacing w:val="40"/>
        </w:rPr>
        <w:t xml:space="preserve"> </w:t>
      </w:r>
      <w:r>
        <w:t>considered</w:t>
      </w:r>
      <w:r>
        <w:rPr>
          <w:spacing w:val="40"/>
        </w:rPr>
        <w:t xml:space="preserve"> </w:t>
      </w:r>
      <w:r>
        <w:t>restricted</w:t>
      </w:r>
      <w:r>
        <w:rPr>
          <w:spacing w:val="40"/>
        </w:rPr>
        <w:t xml:space="preserve"> </w:t>
      </w:r>
      <w:r>
        <w:t>hazardous</w:t>
      </w:r>
      <w:r>
        <w:rPr>
          <w:spacing w:val="40"/>
        </w:rPr>
        <w:t xml:space="preserve"> </w:t>
      </w:r>
      <w:r>
        <w:t>materials</w:t>
      </w:r>
      <w:r>
        <w:rPr>
          <w:spacing w:val="40"/>
        </w:rPr>
        <w:t xml:space="preserve"> </w:t>
      </w:r>
      <w:r>
        <w:t>and</w:t>
      </w:r>
      <w:r>
        <w:rPr>
          <w:spacing w:val="40"/>
        </w:rPr>
        <w:t xml:space="preserve"> </w:t>
      </w:r>
      <w:r>
        <w:t xml:space="preserve">are subject to </w:t>
      </w:r>
      <w:hyperlink r:id="rId13">
        <w:r>
          <w:rPr>
            <w:color w:val="0000FF"/>
            <w:u w:val="single" w:color="0000FF"/>
          </w:rPr>
          <w:t>UCF Policy 3-107.2.</w:t>
        </w:r>
      </w:hyperlink>
    </w:p>
    <w:p w14:paraId="40DB9CF1" w14:textId="77777777" w:rsidR="0080310D" w:rsidRDefault="0080310D">
      <w:pPr>
        <w:pStyle w:val="BodyText"/>
      </w:pPr>
    </w:p>
    <w:p w14:paraId="44209FB8" w14:textId="77777777" w:rsidR="0080310D" w:rsidRDefault="004830AF">
      <w:pPr>
        <w:pStyle w:val="BodyText"/>
        <w:ind w:left="720" w:right="711"/>
        <w:jc w:val="both"/>
      </w:pPr>
      <w:r>
        <w:t>Controlled substances are those materials that may have a narcotic, stimulant, depressant, or hallucinogenic effect on the central nervous system, as well as other regulated chemicals. These substances have a tendency to be subject to abuse, and physiological or psychological dependence, and, as such, have been identified as substances needing extensive licensing, registration, storage, security, use, and disposal requirements. State and federal agencies (e.g., the DEA) have comprehensive regulatory and enforcement structures that are designed to prevent the diversion of legitimately produced controlled substances and regulated chemicals to illicit or illegal activities. Registered researchers, by their adherence to the law, constitute a powerful resource for protection of public health and safety.</w:t>
      </w:r>
    </w:p>
    <w:p w14:paraId="329C2B57" w14:textId="77777777" w:rsidR="0080310D" w:rsidRDefault="0080310D">
      <w:pPr>
        <w:pStyle w:val="BodyText"/>
      </w:pPr>
    </w:p>
    <w:p w14:paraId="2C3765C0" w14:textId="4B25DC53" w:rsidR="0080310D" w:rsidRDefault="004830AF">
      <w:pPr>
        <w:pStyle w:val="BodyText"/>
        <w:spacing w:before="1"/>
        <w:ind w:left="719" w:right="711"/>
        <w:jc w:val="both"/>
      </w:pPr>
      <w:r>
        <w:rPr>
          <w:b/>
        </w:rPr>
        <w:t xml:space="preserve">Both state and Federal </w:t>
      </w:r>
      <w:r>
        <w:t xml:space="preserve">law classify controlled substances into five categories according to their medical use and potential for abuse. Schedules I and II substances, categorized as having the highest potential for abuse, are the most regulated. Schedule I substances are classified as having no medical value and include designated opiates, </w:t>
      </w:r>
      <w:r w:rsidR="00031C47">
        <w:t xml:space="preserve">and </w:t>
      </w:r>
      <w:r>
        <w:t>LSD. Schedule II drugs include the barbiturates, morphine, and designated opiates. Schedule III drugs include many medically relevant chemicals (cough suppressants, anesthetic agents, narcotic pain killers) and Schedule IV covers the potential stimulants and depressants</w:t>
      </w:r>
      <w:r>
        <w:rPr>
          <w:spacing w:val="40"/>
        </w:rPr>
        <w:t xml:space="preserve"> </w:t>
      </w:r>
      <w:r>
        <w:t>with a lower potential for abuse. Schedule V is categorized as having the least potential for abuse. Due to their high risk for abuse, orders for Schedule I or II substances must be in writing and accompanied by DEA Form 222 (DEA official order form).</w:t>
      </w:r>
    </w:p>
    <w:p w14:paraId="6447329E" w14:textId="77777777" w:rsidR="0080310D" w:rsidRDefault="0080310D">
      <w:pPr>
        <w:pStyle w:val="BodyText"/>
      </w:pPr>
    </w:p>
    <w:p w14:paraId="1A6DB643" w14:textId="77777777" w:rsidR="0080310D" w:rsidRDefault="004830AF">
      <w:pPr>
        <w:pStyle w:val="BodyText"/>
        <w:ind w:left="720" w:right="713"/>
        <w:jc w:val="both"/>
      </w:pPr>
      <w:r>
        <w:t xml:space="preserve">This procedure was developed in accordance with </w:t>
      </w:r>
      <w:hyperlink r:id="rId14">
        <w:r>
          <w:rPr>
            <w:color w:val="0000FF"/>
            <w:u w:val="single" w:color="0000FF"/>
          </w:rPr>
          <w:t>Policy 3-107.2</w:t>
        </w:r>
      </w:hyperlink>
      <w:r>
        <w:t xml:space="preserve">; Chapters </w:t>
      </w:r>
      <w:hyperlink r:id="rId15">
        <w:r>
          <w:rPr>
            <w:color w:val="0000FF"/>
            <w:u w:val="single" w:color="0000FF"/>
          </w:rPr>
          <w:t>499</w:t>
        </w:r>
      </w:hyperlink>
      <w:r>
        <w:rPr>
          <w:color w:val="0000FF"/>
        </w:rPr>
        <w:t xml:space="preserve"> </w:t>
      </w:r>
      <w:r>
        <w:t xml:space="preserve">and </w:t>
      </w:r>
      <w:hyperlink r:id="rId16">
        <w:r>
          <w:rPr>
            <w:color w:val="0000FF"/>
            <w:u w:val="single" w:color="0000FF"/>
          </w:rPr>
          <w:t>893</w:t>
        </w:r>
      </w:hyperlink>
      <w:r>
        <w:rPr>
          <w:color w:val="0000FF"/>
        </w:rPr>
        <w:t xml:space="preserve"> </w:t>
      </w:r>
      <w:r>
        <w:t xml:space="preserve">of the Florida Statutes, </w:t>
      </w:r>
      <w:hyperlink r:id="rId17">
        <w:r>
          <w:rPr>
            <w:color w:val="0000FF"/>
            <w:u w:val="single" w:color="0000FF"/>
          </w:rPr>
          <w:t>Rule 64F-12 of the Florida Administrative Code</w:t>
        </w:r>
      </w:hyperlink>
      <w:r>
        <w:t xml:space="preserve">; and the </w:t>
      </w:r>
      <w:hyperlink r:id="rId18">
        <w:r>
          <w:rPr>
            <w:color w:val="0000FF"/>
            <w:u w:val="single" w:color="0000FF"/>
          </w:rPr>
          <w:t>Code of Federal Regulation, Title 21, Parts 1300-END</w:t>
        </w:r>
      </w:hyperlink>
      <w:r>
        <w:rPr>
          <w:color w:val="0000FF"/>
        </w:rPr>
        <w:t xml:space="preserve"> </w:t>
      </w:r>
      <w:r>
        <w:t>(see references). The following information is provided to university researchers as guidance for obtaining necessary exemptions, licenses, and permits, as well as instruction on the purchasing, storage, record keeping, and destruction or disposal of such substances. Failure to comply with this procedure may be grounds for</w:t>
      </w:r>
      <w:r>
        <w:rPr>
          <w:spacing w:val="40"/>
        </w:rPr>
        <w:t xml:space="preserve"> </w:t>
      </w:r>
      <w:r>
        <w:t>suspension or termination of research by the university, referral for academic misconduct proceedings, and/or reporting to external licensing authorities.</w:t>
      </w:r>
    </w:p>
    <w:p w14:paraId="7DF5DA2A" w14:textId="77777777" w:rsidR="0080310D" w:rsidRDefault="0080310D">
      <w:pPr>
        <w:pStyle w:val="BodyText"/>
      </w:pPr>
    </w:p>
    <w:p w14:paraId="5BBF7571" w14:textId="77777777" w:rsidR="0080310D" w:rsidRDefault="004830AF">
      <w:pPr>
        <w:pStyle w:val="BodyText"/>
        <w:ind w:left="719" w:right="713"/>
        <w:jc w:val="both"/>
      </w:pPr>
      <w:r>
        <w:t>The objective of this procedure is to ensure compliance with state and federal regulations governing the use of prescription drugs, medical gases, controlled substances, or chemicals, and in accordance with Title 21 United States Code (USC) Controlled Substances Act.</w:t>
      </w:r>
    </w:p>
    <w:p w14:paraId="5B095760" w14:textId="77777777" w:rsidR="0080310D" w:rsidRDefault="0080310D">
      <w:pPr>
        <w:pStyle w:val="BodyText"/>
      </w:pPr>
    </w:p>
    <w:p w14:paraId="1069EA39" w14:textId="77777777" w:rsidR="0080310D" w:rsidRDefault="004830AF">
      <w:pPr>
        <w:pStyle w:val="BodyText"/>
        <w:ind w:left="720" w:right="714"/>
        <w:jc w:val="both"/>
      </w:pPr>
      <w:r>
        <w:t>The Florida Department of Business &amp; Professional Regulation (DBPR)</w:t>
      </w:r>
      <w:r>
        <w:rPr>
          <w:spacing w:val="40"/>
        </w:rPr>
        <w:t xml:space="preserve"> </w:t>
      </w:r>
      <w:r>
        <w:t>delegates the authority to administer and enforce regulations related to the preparation,</w:t>
      </w:r>
      <w:r>
        <w:rPr>
          <w:spacing w:val="40"/>
        </w:rPr>
        <w:t xml:space="preserve"> </w:t>
      </w:r>
      <w:r>
        <w:t>manufacture,</w:t>
      </w:r>
      <w:r>
        <w:rPr>
          <w:spacing w:val="40"/>
        </w:rPr>
        <w:t xml:space="preserve"> </w:t>
      </w:r>
      <w:r>
        <w:t>repackaging,</w:t>
      </w:r>
      <w:r>
        <w:rPr>
          <w:spacing w:val="40"/>
        </w:rPr>
        <w:t xml:space="preserve"> </w:t>
      </w:r>
      <w:r>
        <w:t>or</w:t>
      </w:r>
      <w:r>
        <w:rPr>
          <w:spacing w:val="40"/>
        </w:rPr>
        <w:t xml:space="preserve"> </w:t>
      </w:r>
      <w:r>
        <w:t>distribution</w:t>
      </w:r>
      <w:r>
        <w:rPr>
          <w:spacing w:val="40"/>
        </w:rPr>
        <w:t xml:space="preserve"> </w:t>
      </w:r>
      <w:r>
        <w:t>of</w:t>
      </w:r>
      <w:r>
        <w:rPr>
          <w:spacing w:val="40"/>
        </w:rPr>
        <w:t xml:space="preserve"> </w:t>
      </w:r>
      <w:r>
        <w:t>drugs,</w:t>
      </w:r>
      <w:r>
        <w:rPr>
          <w:spacing w:val="40"/>
        </w:rPr>
        <w:t xml:space="preserve"> </w:t>
      </w:r>
      <w:r>
        <w:t>devices,</w:t>
      </w:r>
      <w:r>
        <w:rPr>
          <w:spacing w:val="40"/>
        </w:rPr>
        <w:t xml:space="preserve"> </w:t>
      </w:r>
      <w:r>
        <w:t>and</w:t>
      </w:r>
    </w:p>
    <w:p w14:paraId="4A4B5935" w14:textId="77777777" w:rsidR="0080310D" w:rsidRDefault="0080310D">
      <w:pPr>
        <w:pStyle w:val="BodyText"/>
        <w:jc w:val="both"/>
        <w:sectPr w:rsidR="0080310D">
          <w:pgSz w:w="12240" w:h="15840"/>
          <w:pgMar w:top="1360" w:right="1080" w:bottom="1300" w:left="1080" w:header="0" w:footer="1100" w:gutter="0"/>
          <w:cols w:space="720"/>
        </w:sectPr>
      </w:pPr>
    </w:p>
    <w:p w14:paraId="47AA318D" w14:textId="77777777" w:rsidR="0080310D" w:rsidRDefault="004830AF">
      <w:pPr>
        <w:pStyle w:val="BodyText"/>
        <w:spacing w:before="80"/>
        <w:ind w:left="720" w:right="715"/>
        <w:jc w:val="both"/>
      </w:pPr>
      <w:r>
        <w:lastRenderedPageBreak/>
        <w:t xml:space="preserve">cosmetics through </w:t>
      </w:r>
      <w:hyperlink r:id="rId19">
        <w:r>
          <w:rPr>
            <w:color w:val="0000FF"/>
            <w:u w:val="single" w:color="0000FF"/>
          </w:rPr>
          <w:t>Florida Statutes, Title XXXII Chapters 455 Business and</w:t>
        </w:r>
      </w:hyperlink>
      <w:r>
        <w:rPr>
          <w:color w:val="0000FF"/>
        </w:rPr>
        <w:t xml:space="preserve"> </w:t>
      </w:r>
      <w:hyperlink r:id="rId20">
        <w:r>
          <w:rPr>
            <w:color w:val="0000FF"/>
            <w:u w:val="single" w:color="0000FF"/>
          </w:rPr>
          <w:t>Profession Regulation : General Provision</w:t>
        </w:r>
      </w:hyperlink>
      <w:r>
        <w:t>,</w:t>
      </w:r>
      <w:r>
        <w:rPr>
          <w:spacing w:val="80"/>
        </w:rPr>
        <w:t xml:space="preserve"> </w:t>
      </w:r>
      <w:hyperlink r:id="rId21">
        <w:r>
          <w:rPr>
            <w:color w:val="0000FF"/>
            <w:u w:val="single" w:color="0000FF"/>
          </w:rPr>
          <w:t>Florida Statutes, Title XXXIII</w:t>
        </w:r>
      </w:hyperlink>
      <w:r>
        <w:rPr>
          <w:color w:val="0000FF"/>
        </w:rPr>
        <w:t xml:space="preserve"> </w:t>
      </w:r>
      <w:hyperlink r:id="rId22">
        <w:r>
          <w:rPr>
            <w:color w:val="0000FF"/>
            <w:u w:val="single" w:color="0000FF"/>
          </w:rPr>
          <w:t>Chapters</w:t>
        </w:r>
        <w:r>
          <w:rPr>
            <w:color w:val="0000FF"/>
            <w:spacing w:val="-2"/>
            <w:u w:val="single" w:color="0000FF"/>
          </w:rPr>
          <w:t xml:space="preserve"> </w:t>
        </w:r>
        <w:r>
          <w:rPr>
            <w:color w:val="0000FF"/>
            <w:u w:val="single" w:color="0000FF"/>
          </w:rPr>
          <w:t>499</w:t>
        </w:r>
        <w:r>
          <w:rPr>
            <w:color w:val="0000FF"/>
            <w:spacing w:val="-1"/>
            <w:u w:val="single" w:color="0000FF"/>
          </w:rPr>
          <w:t xml:space="preserve"> </w:t>
        </w:r>
        <w:r>
          <w:rPr>
            <w:color w:val="0000FF"/>
            <w:u w:val="single" w:color="0000FF"/>
          </w:rPr>
          <w:t>Drug</w:t>
        </w:r>
        <w:r>
          <w:rPr>
            <w:color w:val="0000FF"/>
            <w:spacing w:val="-3"/>
            <w:u w:val="single" w:color="0000FF"/>
          </w:rPr>
          <w:t xml:space="preserve"> </w:t>
        </w:r>
        <w:r>
          <w:rPr>
            <w:color w:val="0000FF"/>
            <w:u w:val="single" w:color="0000FF"/>
          </w:rPr>
          <w:t>and</w:t>
        </w:r>
        <w:r>
          <w:rPr>
            <w:color w:val="0000FF"/>
            <w:spacing w:val="-1"/>
            <w:u w:val="single" w:color="0000FF"/>
          </w:rPr>
          <w:t xml:space="preserve"> </w:t>
        </w:r>
        <w:r>
          <w:rPr>
            <w:color w:val="0000FF"/>
            <w:u w:val="single" w:color="0000FF"/>
          </w:rPr>
          <w:t>Cosmetic</w:t>
        </w:r>
        <w:r>
          <w:rPr>
            <w:color w:val="0000FF"/>
            <w:spacing w:val="-4"/>
            <w:u w:val="single" w:color="0000FF"/>
          </w:rPr>
          <w:t xml:space="preserve"> </w:t>
        </w:r>
        <w:r>
          <w:rPr>
            <w:color w:val="0000FF"/>
            <w:u w:val="single" w:color="0000FF"/>
          </w:rPr>
          <w:t>Act</w:t>
        </w:r>
      </w:hyperlink>
      <w:r>
        <w:t>,</w:t>
      </w:r>
      <w:r>
        <w:rPr>
          <w:spacing w:val="-3"/>
        </w:rPr>
        <w:t xml:space="preserve"> </w:t>
      </w:r>
      <w:r>
        <w:t>and</w:t>
      </w:r>
      <w:r>
        <w:rPr>
          <w:spacing w:val="-1"/>
        </w:rPr>
        <w:t xml:space="preserve"> </w:t>
      </w:r>
      <w:hyperlink r:id="rId23">
        <w:r>
          <w:rPr>
            <w:color w:val="0000FF"/>
            <w:u w:val="single" w:color="0000FF"/>
          </w:rPr>
          <w:t>Rule</w:t>
        </w:r>
        <w:r>
          <w:rPr>
            <w:color w:val="0000FF"/>
            <w:spacing w:val="-1"/>
            <w:u w:val="single" w:color="0000FF"/>
          </w:rPr>
          <w:t xml:space="preserve"> </w:t>
        </w:r>
        <w:r>
          <w:rPr>
            <w:color w:val="0000FF"/>
            <w:u w:val="single" w:color="0000FF"/>
          </w:rPr>
          <w:t>61</w:t>
        </w:r>
        <w:r>
          <w:rPr>
            <w:color w:val="0000FF"/>
            <w:spacing w:val="-1"/>
            <w:u w:val="single" w:color="0000FF"/>
          </w:rPr>
          <w:t xml:space="preserve"> </w:t>
        </w:r>
        <w:r>
          <w:rPr>
            <w:color w:val="0000FF"/>
            <w:u w:val="single" w:color="0000FF"/>
          </w:rPr>
          <w:t>–Florida</w:t>
        </w:r>
        <w:r>
          <w:rPr>
            <w:color w:val="0000FF"/>
            <w:spacing w:val="-1"/>
            <w:u w:val="single" w:color="0000FF"/>
          </w:rPr>
          <w:t xml:space="preserve"> </w:t>
        </w:r>
        <w:r>
          <w:rPr>
            <w:color w:val="0000FF"/>
            <w:u w:val="single" w:color="0000FF"/>
          </w:rPr>
          <w:t>Administrative</w:t>
        </w:r>
        <w:r>
          <w:rPr>
            <w:color w:val="0000FF"/>
            <w:spacing w:val="-1"/>
            <w:u w:val="single" w:color="0000FF"/>
          </w:rPr>
          <w:t xml:space="preserve"> </w:t>
        </w:r>
        <w:r>
          <w:rPr>
            <w:color w:val="0000FF"/>
            <w:u w:val="single" w:color="0000FF"/>
          </w:rPr>
          <w:t>Code,</w:t>
        </w:r>
      </w:hyperlink>
      <w:r>
        <w:rPr>
          <w:color w:val="0000FF"/>
        </w:rPr>
        <w:t xml:space="preserve"> </w:t>
      </w:r>
      <w:hyperlink r:id="rId24">
        <w:r>
          <w:rPr>
            <w:color w:val="0000FF"/>
            <w:u w:val="single" w:color="0000FF"/>
          </w:rPr>
          <w:t>Regulations for Drugs, Devices and Cosmetics</w:t>
        </w:r>
      </w:hyperlink>
      <w:r>
        <w:rPr>
          <w:color w:val="0000FF"/>
        </w:rPr>
        <w:t xml:space="preserve"> </w:t>
      </w:r>
      <w:r>
        <w:t>.</w:t>
      </w:r>
    </w:p>
    <w:p w14:paraId="673BCC41" w14:textId="77777777" w:rsidR="0080310D" w:rsidRDefault="0080310D">
      <w:pPr>
        <w:pStyle w:val="BodyText"/>
      </w:pPr>
    </w:p>
    <w:p w14:paraId="7C17D83D" w14:textId="77777777" w:rsidR="0080310D" w:rsidRDefault="004830AF">
      <w:pPr>
        <w:pStyle w:val="BodyText"/>
        <w:ind w:left="720" w:right="715"/>
        <w:jc w:val="both"/>
      </w:pPr>
      <w:r>
        <w:rPr>
          <w:noProof/>
        </w:rPr>
        <mc:AlternateContent>
          <mc:Choice Requires="wps">
            <w:drawing>
              <wp:anchor distT="0" distB="0" distL="0" distR="0" simplePos="0" relativeHeight="15728640" behindDoc="0" locked="0" layoutInCell="1" allowOverlap="1" wp14:anchorId="081F9995" wp14:editId="3F53A61F">
                <wp:simplePos x="0" y="0"/>
                <wp:positionH relativeFrom="page">
                  <wp:posOffset>1143000</wp:posOffset>
                </wp:positionH>
                <wp:positionV relativeFrom="paragraph">
                  <wp:posOffset>685874</wp:posOffset>
                </wp:positionV>
                <wp:extent cx="1061085"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1085" cy="10795"/>
                        </a:xfrm>
                        <a:custGeom>
                          <a:avLst/>
                          <a:gdLst/>
                          <a:ahLst/>
                          <a:cxnLst/>
                          <a:rect l="l" t="t" r="r" b="b"/>
                          <a:pathLst>
                            <a:path w="1061085" h="10795">
                              <a:moveTo>
                                <a:pt x="1060703" y="0"/>
                              </a:moveTo>
                              <a:lnTo>
                                <a:pt x="0" y="0"/>
                              </a:lnTo>
                              <a:lnTo>
                                <a:pt x="0" y="10668"/>
                              </a:lnTo>
                              <a:lnTo>
                                <a:pt x="1060703" y="10668"/>
                              </a:lnTo>
                              <a:lnTo>
                                <a:pt x="1060703"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95065C9" id="Graphic 6" o:spid="_x0000_s1026" style="position:absolute;margin-left:90pt;margin-top:54pt;width:83.55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10610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" path="m1060703,l,,,10668r1060703,l1060703,xe" fillcolor="blue" stroked="f">
                <v:path arrowok="t"/>
                <w10:wrap anchorx="page"/>
              </v:shape>
            </w:pict>
          </mc:Fallback>
        </mc:AlternateContent>
      </w:r>
      <w:r>
        <w:t xml:space="preserve">The Federal Drug Enforcement Agency governs the control and enforcement of importation, manufacture, distribution, possession, and use of controlled substances through the </w:t>
      </w:r>
      <w:hyperlink r:id="rId25">
        <w:r>
          <w:rPr>
            <w:color w:val="0000FF"/>
            <w:u w:val="single" w:color="0000FF"/>
          </w:rPr>
          <w:t>Title 21 United States Code (USC) Controlled</w:t>
        </w:r>
      </w:hyperlink>
      <w:r>
        <w:rPr>
          <w:color w:val="0000FF"/>
        </w:rPr>
        <w:t xml:space="preserve"> </w:t>
      </w:r>
      <w:hyperlink r:id="rId26">
        <w:r>
          <w:rPr>
            <w:color w:val="0000FF"/>
          </w:rPr>
          <w:t>Substances Act</w:t>
        </w:r>
      </w:hyperlink>
      <w:r>
        <w:t>.</w:t>
      </w:r>
    </w:p>
    <w:p w14:paraId="39CF9B50" w14:textId="77777777" w:rsidR="0080310D" w:rsidRDefault="0080310D">
      <w:pPr>
        <w:pStyle w:val="BodyText"/>
      </w:pPr>
    </w:p>
    <w:p w14:paraId="6C862F57" w14:textId="77777777" w:rsidR="0080310D" w:rsidRDefault="004830AF">
      <w:pPr>
        <w:pStyle w:val="BodyText"/>
        <w:ind w:left="719" w:right="712"/>
        <w:jc w:val="both"/>
      </w:pPr>
      <w:r>
        <w:rPr>
          <w:noProof/>
        </w:rPr>
        <mc:AlternateContent>
          <mc:Choice Requires="wps">
            <w:drawing>
              <wp:anchor distT="0" distB="0" distL="0" distR="0" simplePos="0" relativeHeight="15729152" behindDoc="0" locked="0" layoutInCell="1" allowOverlap="1" wp14:anchorId="0718C78F" wp14:editId="5CAC79B0">
                <wp:simplePos x="0" y="0"/>
                <wp:positionH relativeFrom="page">
                  <wp:posOffset>2208276</wp:posOffset>
                </wp:positionH>
                <wp:positionV relativeFrom="paragraph">
                  <wp:posOffset>160156</wp:posOffset>
                </wp:positionV>
                <wp:extent cx="1225550" cy="1079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5550" cy="10795"/>
                        </a:xfrm>
                        <a:custGeom>
                          <a:avLst/>
                          <a:gdLst/>
                          <a:ahLst/>
                          <a:cxnLst/>
                          <a:rect l="l" t="t" r="r" b="b"/>
                          <a:pathLst>
                            <a:path w="1225550" h="10795">
                              <a:moveTo>
                                <a:pt x="1225296" y="0"/>
                              </a:moveTo>
                              <a:lnTo>
                                <a:pt x="0" y="0"/>
                              </a:lnTo>
                              <a:lnTo>
                                <a:pt x="0" y="10680"/>
                              </a:lnTo>
                              <a:lnTo>
                                <a:pt x="1225296" y="10680"/>
                              </a:lnTo>
                              <a:lnTo>
                                <a:pt x="122529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A9FAC0D" id="Graphic 7" o:spid="_x0000_s1026" style="position:absolute;margin-left:173.9pt;margin-top:12.6pt;width:96.5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12255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" path="m1225296,l,,,10680r1225296,l1225296,xe" fillcolor="blue" stroked="f">
                <v:path arrowok="t"/>
                <w10:wrap anchorx="page"/>
              </v:shape>
            </w:pict>
          </mc:Fallback>
        </mc:AlternateContent>
      </w:r>
      <w:r>
        <w:t xml:space="preserve">By authority of </w:t>
      </w:r>
      <w:hyperlink r:id="rId27">
        <w:r>
          <w:rPr>
            <w:color w:val="0000FF"/>
          </w:rPr>
          <w:t>UCF Policy 3-122</w:t>
        </w:r>
      </w:hyperlink>
      <w:r>
        <w:t>, the Department of Environmental Health and Safety (EHS) is the designated office at UCF in charge of administration of, and compliance with, all health and safety regulations.</w:t>
      </w:r>
      <w:r>
        <w:rPr>
          <w:spacing w:val="40"/>
        </w:rPr>
        <w:t xml:space="preserve"> </w:t>
      </w:r>
      <w:r>
        <w:t>Under this authority, EHS is charged with developing applicable policies and procedures and performing inspections to monitor for compliance.</w:t>
      </w:r>
    </w:p>
    <w:p w14:paraId="72D3104B" w14:textId="77777777" w:rsidR="0080310D" w:rsidRDefault="0080310D">
      <w:pPr>
        <w:pStyle w:val="BodyText"/>
      </w:pPr>
    </w:p>
    <w:p w14:paraId="2624F878" w14:textId="77777777" w:rsidR="0080310D" w:rsidRDefault="004830AF">
      <w:pPr>
        <w:pStyle w:val="Heading1"/>
        <w:numPr>
          <w:ilvl w:val="0"/>
          <w:numId w:val="6"/>
        </w:numPr>
        <w:tabs>
          <w:tab w:val="left" w:pos="1438"/>
        </w:tabs>
        <w:spacing w:before="1"/>
        <w:ind w:left="1438" w:hanging="359"/>
      </w:pPr>
      <w:bookmarkStart w:id="3" w:name="3._DEFINITIONS"/>
      <w:bookmarkEnd w:id="3"/>
      <w:r>
        <w:rPr>
          <w:spacing w:val="-2"/>
        </w:rPr>
        <w:t>DEFINITIONS</w:t>
      </w:r>
    </w:p>
    <w:p w14:paraId="735CEABC" w14:textId="77777777" w:rsidR="0080310D" w:rsidRDefault="004830AF">
      <w:pPr>
        <w:pStyle w:val="BodyText"/>
        <w:spacing w:before="276"/>
        <w:ind w:left="719" w:right="715"/>
        <w:jc w:val="both"/>
      </w:pPr>
      <w:r>
        <w:rPr>
          <w:b/>
        </w:rPr>
        <w:t>Authorized Agent</w:t>
      </w:r>
      <w:r>
        <w:t>: Lab employees, graduate students, or other controlled substance handlers who have been given authority to access the controlled substances</w:t>
      </w:r>
      <w:r>
        <w:rPr>
          <w:spacing w:val="-3"/>
        </w:rPr>
        <w:t xml:space="preserve"> </w:t>
      </w:r>
      <w:r>
        <w:t>by</w:t>
      </w:r>
      <w:r>
        <w:rPr>
          <w:spacing w:val="-3"/>
        </w:rPr>
        <w:t xml:space="preserve"> </w:t>
      </w:r>
      <w:r>
        <w:t>a registrant who</w:t>
      </w:r>
      <w:r>
        <w:rPr>
          <w:spacing w:val="-2"/>
        </w:rPr>
        <w:t xml:space="preserve"> </w:t>
      </w:r>
      <w:r>
        <w:t>has</w:t>
      </w:r>
      <w:r>
        <w:rPr>
          <w:spacing w:val="-1"/>
        </w:rPr>
        <w:t xml:space="preserve"> </w:t>
      </w:r>
      <w:r>
        <w:t>received</w:t>
      </w:r>
      <w:r>
        <w:rPr>
          <w:spacing w:val="-2"/>
        </w:rPr>
        <w:t xml:space="preserve"> </w:t>
      </w:r>
      <w:r>
        <w:t>a Letter</w:t>
      </w:r>
      <w:r>
        <w:rPr>
          <w:spacing w:val="-4"/>
        </w:rPr>
        <w:t xml:space="preserve"> </w:t>
      </w:r>
      <w:r>
        <w:t>of Exemption</w:t>
      </w:r>
      <w:r>
        <w:rPr>
          <w:spacing w:val="-4"/>
        </w:rPr>
        <w:t xml:space="preserve"> </w:t>
      </w:r>
      <w:r>
        <w:t>from the</w:t>
      </w:r>
      <w:r>
        <w:rPr>
          <w:spacing w:val="-2"/>
        </w:rPr>
        <w:t xml:space="preserve"> </w:t>
      </w:r>
      <w:r>
        <w:t>state of Florida and has registered with the U.S. Drug Enforcement Agency (DEA).</w:t>
      </w:r>
    </w:p>
    <w:p w14:paraId="4EA611A7" w14:textId="77777777" w:rsidR="0080310D" w:rsidRDefault="004830AF">
      <w:pPr>
        <w:pStyle w:val="BodyText"/>
        <w:spacing w:before="276"/>
        <w:ind w:left="719" w:right="714"/>
        <w:jc w:val="both"/>
      </w:pPr>
      <w:r>
        <w:rPr>
          <w:b/>
        </w:rPr>
        <w:t>Controlled Substance</w:t>
      </w:r>
      <w:r>
        <w:t>: A drug, substance, or chemical that manufacture, possession, or use is regulated by the government. These include behavior-altering, addictive, and illicitly-used drugs, or prescription medications that are designated as controlled drugs. Controlled substances are divided into five categories, or “Schedules,” based on the use for medicinal purposes.</w:t>
      </w:r>
    </w:p>
    <w:p w14:paraId="5400081C" w14:textId="77777777" w:rsidR="0080310D" w:rsidRDefault="0080310D">
      <w:pPr>
        <w:pStyle w:val="BodyText"/>
      </w:pPr>
    </w:p>
    <w:p w14:paraId="20440F36" w14:textId="77777777" w:rsidR="0080310D" w:rsidRDefault="004830AF">
      <w:pPr>
        <w:pStyle w:val="BodyText"/>
        <w:ind w:left="719" w:right="712"/>
        <w:jc w:val="both"/>
      </w:pPr>
      <w:r>
        <w:rPr>
          <w:b/>
        </w:rPr>
        <w:t>Prescription Drug</w:t>
      </w:r>
      <w:r>
        <w:t>: An FDA-approved drug that must, by federal law or regulation, be dispensed only pursuant to a prescription (e.g., finished dose form and active ingredients subject to the stipulations of the Federal Food, Drug, and Cosmetic Act).</w:t>
      </w:r>
    </w:p>
    <w:p w14:paraId="6E0859D0" w14:textId="77777777" w:rsidR="0080310D" w:rsidRDefault="0080310D">
      <w:pPr>
        <w:pStyle w:val="BodyText"/>
      </w:pPr>
    </w:p>
    <w:p w14:paraId="516A808A" w14:textId="77777777" w:rsidR="0080310D" w:rsidRDefault="004830AF">
      <w:pPr>
        <w:pStyle w:val="BodyText"/>
        <w:ind w:left="719" w:right="715"/>
        <w:jc w:val="both"/>
      </w:pPr>
      <w:r>
        <w:rPr>
          <w:b/>
        </w:rPr>
        <w:t>Analytical Standard</w:t>
      </w:r>
      <w:r>
        <w:t>: An analytical standard is a compound of suitable purity</w:t>
      </w:r>
      <w:r>
        <w:rPr>
          <w:spacing w:val="80"/>
        </w:rPr>
        <w:t xml:space="preserve"> </w:t>
      </w:r>
      <w:r>
        <w:t>and known concentration to be used as a calibration standard for an assay.</w:t>
      </w:r>
    </w:p>
    <w:p w14:paraId="7DD21142" w14:textId="77777777" w:rsidR="0080310D" w:rsidRDefault="0080310D">
      <w:pPr>
        <w:pStyle w:val="BodyText"/>
      </w:pPr>
    </w:p>
    <w:p w14:paraId="7EED1D17" w14:textId="77777777" w:rsidR="0080310D" w:rsidRDefault="004830AF">
      <w:pPr>
        <w:pStyle w:val="BodyText"/>
        <w:ind w:left="720" w:right="713"/>
        <w:jc w:val="both"/>
      </w:pPr>
      <w:r>
        <w:rPr>
          <w:b/>
        </w:rPr>
        <w:t>Registrant</w:t>
      </w:r>
      <w:r>
        <w:t>: A person who is licensed and registered with the U.S. Drug Enforcement Agency (DEA) to possess and handle controlled substances. This person is responsible to ensure compliance with state and federal laws for recordkeeping, storage, and security.</w:t>
      </w:r>
    </w:p>
    <w:p w14:paraId="6981EEF8" w14:textId="77777777" w:rsidR="0080310D" w:rsidRDefault="0080310D">
      <w:pPr>
        <w:pStyle w:val="BodyText"/>
      </w:pPr>
    </w:p>
    <w:p w14:paraId="38B9846C" w14:textId="77777777" w:rsidR="0080310D" w:rsidRDefault="004830AF">
      <w:pPr>
        <w:ind w:left="720" w:right="717"/>
        <w:jc w:val="both"/>
        <w:rPr>
          <w:sz w:val="24"/>
        </w:rPr>
      </w:pPr>
      <w:r>
        <w:rPr>
          <w:b/>
          <w:sz w:val="24"/>
        </w:rPr>
        <w:t>Schedule I Controlled Substances</w:t>
      </w:r>
      <w:r>
        <w:rPr>
          <w:sz w:val="24"/>
        </w:rPr>
        <w:t>: Drugs, substances, or chemicals with no currently accepted medical use and a high potential for abuse</w:t>
      </w:r>
    </w:p>
    <w:p w14:paraId="401A0564" w14:textId="77777777" w:rsidR="0080310D" w:rsidRDefault="0080310D">
      <w:pPr>
        <w:jc w:val="both"/>
        <w:rPr>
          <w:sz w:val="24"/>
        </w:rPr>
        <w:sectPr w:rsidR="0080310D">
          <w:pgSz w:w="12240" w:h="15840"/>
          <w:pgMar w:top="1360" w:right="1080" w:bottom="1300" w:left="1080" w:header="0" w:footer="1100" w:gutter="0"/>
          <w:cols w:space="720"/>
        </w:sectPr>
      </w:pPr>
    </w:p>
    <w:p w14:paraId="414DA538" w14:textId="77777777" w:rsidR="0080310D" w:rsidRDefault="004830AF">
      <w:pPr>
        <w:pStyle w:val="BodyText"/>
        <w:spacing w:before="80"/>
        <w:ind w:left="720" w:right="715"/>
        <w:jc w:val="both"/>
      </w:pPr>
      <w:r>
        <w:rPr>
          <w:b/>
        </w:rPr>
        <w:lastRenderedPageBreak/>
        <w:t>Schedule II Controlled Substances</w:t>
      </w:r>
      <w:r>
        <w:t>: Drugs, substances, or chemicals with a high potential for abuse, with use potentially leading to severe psychological or physical dependence. These drugs are also considered dangerous.</w:t>
      </w:r>
    </w:p>
    <w:p w14:paraId="5AC831A7" w14:textId="77777777" w:rsidR="0080310D" w:rsidRDefault="0080310D">
      <w:pPr>
        <w:pStyle w:val="BodyText"/>
      </w:pPr>
    </w:p>
    <w:p w14:paraId="4D25CB7A" w14:textId="77777777" w:rsidR="0080310D" w:rsidRDefault="004830AF">
      <w:pPr>
        <w:ind w:left="720" w:right="718"/>
        <w:jc w:val="both"/>
        <w:rPr>
          <w:sz w:val="24"/>
        </w:rPr>
      </w:pPr>
      <w:r>
        <w:rPr>
          <w:b/>
          <w:sz w:val="24"/>
        </w:rPr>
        <w:t>Schedule III Controlled Substances</w:t>
      </w:r>
      <w:r>
        <w:rPr>
          <w:sz w:val="24"/>
        </w:rPr>
        <w:t>: Drugs, substances, or chemicals with a moderate to low potential for physical and psychological dependence.</w:t>
      </w:r>
    </w:p>
    <w:p w14:paraId="3DFBF22B" w14:textId="77777777" w:rsidR="0080310D" w:rsidRDefault="0080310D">
      <w:pPr>
        <w:pStyle w:val="BodyText"/>
      </w:pPr>
    </w:p>
    <w:p w14:paraId="05863637" w14:textId="77777777" w:rsidR="0080310D" w:rsidRDefault="004830AF">
      <w:pPr>
        <w:ind w:left="720" w:right="718"/>
        <w:jc w:val="both"/>
        <w:rPr>
          <w:sz w:val="24"/>
        </w:rPr>
      </w:pPr>
      <w:r>
        <w:rPr>
          <w:b/>
          <w:sz w:val="24"/>
        </w:rPr>
        <w:t>Schedule IV Controlled Substances</w:t>
      </w:r>
      <w:r>
        <w:rPr>
          <w:sz w:val="24"/>
        </w:rPr>
        <w:t>: Drugs, substances, or chemicals with a low potential for abuse and low risk of dependence.</w:t>
      </w:r>
    </w:p>
    <w:p w14:paraId="08DA8040" w14:textId="77777777" w:rsidR="0080310D" w:rsidRDefault="0080310D">
      <w:pPr>
        <w:pStyle w:val="BodyText"/>
      </w:pPr>
    </w:p>
    <w:p w14:paraId="4176C76E" w14:textId="77777777" w:rsidR="0080310D" w:rsidRDefault="004830AF">
      <w:pPr>
        <w:pStyle w:val="BodyText"/>
        <w:ind w:left="720" w:right="716"/>
        <w:jc w:val="both"/>
      </w:pPr>
      <w:r>
        <w:rPr>
          <w:b/>
        </w:rPr>
        <w:t>Schedule V Controlled Substances</w:t>
      </w:r>
      <w:r>
        <w:t>: Drugs, substances, or chemicals with lower potential for abuse relative to substances listed in Schedule IV and that consist of preparations containing limited quantities of certain narcotics.</w:t>
      </w:r>
    </w:p>
    <w:p w14:paraId="04CD98F0" w14:textId="77777777" w:rsidR="0080310D" w:rsidRDefault="0080310D">
      <w:pPr>
        <w:pStyle w:val="BodyText"/>
      </w:pPr>
    </w:p>
    <w:p w14:paraId="5E70D7B9" w14:textId="77777777" w:rsidR="0080310D" w:rsidRDefault="004830AF">
      <w:pPr>
        <w:pStyle w:val="Heading1"/>
        <w:numPr>
          <w:ilvl w:val="0"/>
          <w:numId w:val="6"/>
        </w:numPr>
        <w:tabs>
          <w:tab w:val="left" w:pos="1439"/>
        </w:tabs>
        <w:spacing w:before="1"/>
        <w:ind w:left="1439" w:hanging="359"/>
      </w:pPr>
      <w:bookmarkStart w:id="4" w:name="4._RESPONSIBILITY"/>
      <w:bookmarkEnd w:id="4"/>
      <w:r>
        <w:rPr>
          <w:spacing w:val="-2"/>
        </w:rPr>
        <w:t>RESPONSIBILITY</w:t>
      </w:r>
    </w:p>
    <w:p w14:paraId="2A10B850" w14:textId="77777777" w:rsidR="0080310D" w:rsidRDefault="004830AF">
      <w:pPr>
        <w:pStyle w:val="BodyText"/>
        <w:spacing w:before="276"/>
        <w:ind w:left="720" w:right="715"/>
        <w:jc w:val="both"/>
      </w:pPr>
      <w:r>
        <w:t>The University of Central Florida requires that all individuals working with DEA-controlled substances have current registration with the DEA and comply with all state and Federal regulations regarding the acquisition, storage, use, record keeping, and disposal of those controlled substances.</w:t>
      </w:r>
    </w:p>
    <w:p w14:paraId="5E7BA250" w14:textId="77777777" w:rsidR="0080310D" w:rsidRDefault="004830AF">
      <w:pPr>
        <w:pStyle w:val="Heading2"/>
        <w:spacing w:before="276"/>
      </w:pPr>
      <w:r>
        <w:t>Principal</w:t>
      </w:r>
      <w:r>
        <w:rPr>
          <w:spacing w:val="-6"/>
        </w:rPr>
        <w:t xml:space="preserve"> </w:t>
      </w:r>
      <w:r>
        <w:t>Investigator</w:t>
      </w:r>
      <w:r>
        <w:rPr>
          <w:spacing w:val="-6"/>
        </w:rPr>
        <w:t xml:space="preserve"> </w:t>
      </w:r>
      <w:r>
        <w:rPr>
          <w:spacing w:val="-4"/>
        </w:rPr>
        <w:t>(PI)</w:t>
      </w:r>
    </w:p>
    <w:p w14:paraId="480EBB51" w14:textId="7D27BAC1" w:rsidR="0080310D" w:rsidRDefault="004830AF">
      <w:pPr>
        <w:pStyle w:val="BodyText"/>
        <w:spacing w:before="276"/>
        <w:ind w:left="720" w:right="713"/>
        <w:jc w:val="both"/>
      </w:pPr>
      <w:r>
        <w:t xml:space="preserve">Each PI working with DEA-controlled substances will be responsible for submitting an Application for Exemption Registration Form </w:t>
      </w:r>
      <w:hyperlink r:id="rId28">
        <w:r>
          <w:rPr>
            <w:color w:val="0000FF"/>
            <w:u w:val="single" w:color="0000FF"/>
          </w:rPr>
          <w:t>(#DBPR-DDC-227)</w:t>
        </w:r>
      </w:hyperlink>
      <w:r>
        <w:rPr>
          <w:color w:val="0000FF"/>
        </w:rPr>
        <w:t xml:space="preserve"> </w:t>
      </w:r>
      <w:r>
        <w:t xml:space="preserve">to the Florida Department of Business and Professional Regulation. If the PI will be working with controlled substances, he or she must also register with the DEA to obtain a DEA Registration (license). The </w:t>
      </w:r>
      <w:r w:rsidR="00696032">
        <w:t>Biological Safety Officer</w:t>
      </w:r>
      <w:r>
        <w:t xml:space="preserve"> can assist the PI with the Application for Exemption Registration Form and DEA registration </w:t>
      </w:r>
      <w:r>
        <w:rPr>
          <w:spacing w:val="-2"/>
        </w:rPr>
        <w:t>process.</w:t>
      </w:r>
    </w:p>
    <w:p w14:paraId="7834ED9C" w14:textId="77777777" w:rsidR="0080310D" w:rsidRDefault="0080310D">
      <w:pPr>
        <w:pStyle w:val="BodyText"/>
      </w:pPr>
    </w:p>
    <w:p w14:paraId="218C7C0D" w14:textId="77777777" w:rsidR="0080310D" w:rsidRDefault="004830AF">
      <w:pPr>
        <w:pStyle w:val="Heading2"/>
      </w:pPr>
      <w:r>
        <w:t>Animal</w:t>
      </w:r>
      <w:r>
        <w:rPr>
          <w:spacing w:val="-2"/>
        </w:rPr>
        <w:t xml:space="preserve"> Research</w:t>
      </w:r>
    </w:p>
    <w:p w14:paraId="257FB44C" w14:textId="77777777" w:rsidR="0080310D" w:rsidRDefault="0080310D">
      <w:pPr>
        <w:pStyle w:val="BodyText"/>
        <w:rPr>
          <w:b/>
        </w:rPr>
      </w:pPr>
    </w:p>
    <w:p w14:paraId="2F349C94" w14:textId="77777777" w:rsidR="0080310D" w:rsidRDefault="004830AF">
      <w:pPr>
        <w:pStyle w:val="BodyText"/>
        <w:ind w:left="720" w:right="714"/>
        <w:jc w:val="both"/>
      </w:pPr>
      <w:r>
        <w:t>If controlled substances and/or prescription drugs are planned to be used in a research project using animals, the PI must obtain a Florida Exemption Letter</w:t>
      </w:r>
      <w:r>
        <w:rPr>
          <w:spacing w:val="40"/>
        </w:rPr>
        <w:t xml:space="preserve"> </w:t>
      </w:r>
      <w:r>
        <w:t>and a DEA Registration prior to starting research. Note an IACUC approval letter is also required for obtaining a DEA registration.</w:t>
      </w:r>
    </w:p>
    <w:p w14:paraId="1067B2DC" w14:textId="77777777" w:rsidR="0080310D" w:rsidRDefault="0080310D">
      <w:pPr>
        <w:pStyle w:val="BodyText"/>
      </w:pPr>
    </w:p>
    <w:p w14:paraId="75455445" w14:textId="77777777" w:rsidR="0080310D" w:rsidRDefault="004830AF">
      <w:pPr>
        <w:pStyle w:val="BodyText"/>
        <w:ind w:left="720" w:right="711"/>
        <w:jc w:val="both"/>
      </w:pPr>
      <w:r>
        <w:t>The PI, also known as the registrant, has the utmost responsibility for record keeping, storage, security, assigning and supervising authorized agents, and ensuring</w:t>
      </w:r>
      <w:r>
        <w:rPr>
          <w:spacing w:val="-1"/>
        </w:rPr>
        <w:t xml:space="preserve"> </w:t>
      </w:r>
      <w:r>
        <w:t>compliance</w:t>
      </w:r>
      <w:r>
        <w:rPr>
          <w:spacing w:val="-1"/>
        </w:rPr>
        <w:t xml:space="preserve"> </w:t>
      </w:r>
      <w:r>
        <w:t>with all state</w:t>
      </w:r>
      <w:r>
        <w:rPr>
          <w:spacing w:val="-1"/>
        </w:rPr>
        <w:t xml:space="preserve"> </w:t>
      </w:r>
      <w:r>
        <w:t>and</w:t>
      </w:r>
      <w:r>
        <w:rPr>
          <w:spacing w:val="-3"/>
        </w:rPr>
        <w:t xml:space="preserve"> </w:t>
      </w:r>
      <w:r>
        <w:t>federal</w:t>
      </w:r>
      <w:r>
        <w:rPr>
          <w:spacing w:val="-2"/>
        </w:rPr>
        <w:t xml:space="preserve"> </w:t>
      </w:r>
      <w:r>
        <w:t>laws. Failure to</w:t>
      </w:r>
      <w:r>
        <w:rPr>
          <w:spacing w:val="-1"/>
        </w:rPr>
        <w:t xml:space="preserve"> </w:t>
      </w:r>
      <w:r>
        <w:t>do</w:t>
      </w:r>
      <w:r>
        <w:rPr>
          <w:spacing w:val="-1"/>
        </w:rPr>
        <w:t xml:space="preserve"> </w:t>
      </w:r>
      <w:r>
        <w:t>so</w:t>
      </w:r>
      <w:r>
        <w:rPr>
          <w:spacing w:val="-1"/>
        </w:rPr>
        <w:t xml:space="preserve"> </w:t>
      </w:r>
      <w:r>
        <w:t>may</w:t>
      </w:r>
      <w:r>
        <w:rPr>
          <w:spacing w:val="-2"/>
        </w:rPr>
        <w:t xml:space="preserve"> </w:t>
      </w:r>
      <w:r>
        <w:t>result</w:t>
      </w:r>
      <w:r>
        <w:rPr>
          <w:spacing w:val="-1"/>
        </w:rPr>
        <w:t xml:space="preserve"> </w:t>
      </w:r>
      <w:r>
        <w:t>in criminal charges or fines. The registrant shall select and screen a limited number of people to be authorized agents and inform and train them on the procedures and</w:t>
      </w:r>
      <w:r>
        <w:rPr>
          <w:spacing w:val="-1"/>
        </w:rPr>
        <w:t xml:space="preserve"> </w:t>
      </w:r>
      <w:r>
        <w:t>protocols</w:t>
      </w:r>
      <w:r>
        <w:rPr>
          <w:spacing w:val="-2"/>
        </w:rPr>
        <w:t xml:space="preserve"> </w:t>
      </w:r>
      <w:r>
        <w:t>associated with</w:t>
      </w:r>
      <w:r>
        <w:rPr>
          <w:spacing w:val="-1"/>
        </w:rPr>
        <w:t xml:space="preserve"> </w:t>
      </w:r>
      <w:r>
        <w:t>handling, storage, and</w:t>
      </w:r>
      <w:r>
        <w:rPr>
          <w:spacing w:val="-1"/>
        </w:rPr>
        <w:t xml:space="preserve"> </w:t>
      </w:r>
      <w:r>
        <w:t>documentation</w:t>
      </w:r>
      <w:r>
        <w:rPr>
          <w:spacing w:val="-1"/>
        </w:rPr>
        <w:t xml:space="preserve"> </w:t>
      </w:r>
      <w:r>
        <w:t>of controlled substances. Most importantly, the registrant is responsible for reporting any suspected loss or theft to the U.S. Drug Enforcement Agency.</w:t>
      </w:r>
    </w:p>
    <w:p w14:paraId="7FBEDDAA" w14:textId="77777777" w:rsidR="0080310D" w:rsidRDefault="0080310D">
      <w:pPr>
        <w:pStyle w:val="BodyText"/>
        <w:jc w:val="both"/>
        <w:sectPr w:rsidR="0080310D">
          <w:pgSz w:w="12240" w:h="15840"/>
          <w:pgMar w:top="1360" w:right="1080" w:bottom="1300" w:left="1080" w:header="0" w:footer="1100" w:gutter="0"/>
          <w:cols w:space="720"/>
        </w:sectPr>
      </w:pPr>
    </w:p>
    <w:p w14:paraId="584AB3AC" w14:textId="77777777" w:rsidR="0080310D" w:rsidRDefault="004830AF">
      <w:pPr>
        <w:pStyle w:val="Heading2"/>
        <w:spacing w:before="80"/>
      </w:pPr>
      <w:r>
        <w:lastRenderedPageBreak/>
        <w:t>Authorized</w:t>
      </w:r>
      <w:r>
        <w:rPr>
          <w:spacing w:val="-3"/>
        </w:rPr>
        <w:t xml:space="preserve"> </w:t>
      </w:r>
      <w:r>
        <w:rPr>
          <w:spacing w:val="-2"/>
        </w:rPr>
        <w:t>Agents</w:t>
      </w:r>
    </w:p>
    <w:p w14:paraId="44DBC37F" w14:textId="77777777" w:rsidR="0080310D" w:rsidRDefault="0080310D">
      <w:pPr>
        <w:pStyle w:val="BodyText"/>
        <w:rPr>
          <w:b/>
        </w:rPr>
      </w:pPr>
    </w:p>
    <w:p w14:paraId="3DE7BC33" w14:textId="77777777" w:rsidR="0080310D" w:rsidRDefault="004830AF">
      <w:pPr>
        <w:pStyle w:val="BodyText"/>
        <w:ind w:left="720" w:right="715"/>
        <w:jc w:val="both"/>
      </w:pPr>
      <w:r>
        <w:t xml:space="preserve">Authorized agents (users) fall under the direction of the registrant, and are required to follow all state and federal regulations governing controlled substances, or be faced with criminal charges or fines. Each authorized agent must complete the </w:t>
      </w:r>
      <w:hyperlink r:id="rId29">
        <w:r>
          <w:rPr>
            <w:color w:val="0000FF"/>
            <w:u w:val="single" w:color="0000FF"/>
          </w:rPr>
          <w:t>EHS_SOP350_FORM007</w:t>
        </w:r>
      </w:hyperlink>
      <w:r>
        <w:rPr>
          <w:color w:val="0000FF"/>
        </w:rPr>
        <w:t xml:space="preserve"> </w:t>
      </w:r>
      <w:hyperlink r:id="rId30">
        <w:r>
          <w:t>questionnaire</w:t>
        </w:r>
      </w:hyperlink>
      <w:r>
        <w:t xml:space="preserve"> and submit it to the </w:t>
      </w:r>
      <w:r>
        <w:rPr>
          <w:spacing w:val="-2"/>
        </w:rPr>
        <w:t>registrant.</w:t>
      </w:r>
    </w:p>
    <w:p w14:paraId="7E2BBAED" w14:textId="77777777" w:rsidR="0080310D" w:rsidRDefault="0080310D">
      <w:pPr>
        <w:pStyle w:val="BodyText"/>
      </w:pPr>
    </w:p>
    <w:p w14:paraId="6EAF2475" w14:textId="77777777" w:rsidR="0080310D" w:rsidRDefault="004830AF">
      <w:pPr>
        <w:pStyle w:val="BodyText"/>
        <w:ind w:left="719" w:right="714"/>
        <w:jc w:val="both"/>
      </w:pPr>
      <w:r>
        <w:t>The authorized agents must receive appropriate training from the registrant regarding lab procedures, protocols, documentation, safety, security, and handling of controlled substances. Authorized agents shall ensure that controlled substances are stored in a way that will not lead to theft or misuse. Each authorized agent shall ensure that proper records are updated.</w:t>
      </w:r>
      <w:r>
        <w:rPr>
          <w:spacing w:val="80"/>
        </w:rPr>
        <w:t xml:space="preserve"> </w:t>
      </w:r>
      <w:r>
        <w:t>Authorized agents must ensure proper disposal of controlled substances, and must report any suspected theft or loss immediately to the registrant.</w:t>
      </w:r>
    </w:p>
    <w:p w14:paraId="5016A134" w14:textId="77777777" w:rsidR="0080310D" w:rsidRDefault="0080310D">
      <w:pPr>
        <w:pStyle w:val="BodyText"/>
      </w:pPr>
    </w:p>
    <w:p w14:paraId="0F3315BF" w14:textId="77777777" w:rsidR="0080310D" w:rsidRDefault="004830AF">
      <w:pPr>
        <w:pStyle w:val="Heading2"/>
        <w:spacing w:before="1"/>
      </w:pPr>
      <w:r>
        <w:t>Environmental</w:t>
      </w:r>
      <w:r>
        <w:rPr>
          <w:spacing w:val="-4"/>
        </w:rPr>
        <w:t xml:space="preserve"> </w:t>
      </w:r>
      <w:r>
        <w:t>Health</w:t>
      </w:r>
      <w:r>
        <w:rPr>
          <w:spacing w:val="-4"/>
        </w:rPr>
        <w:t xml:space="preserve"> </w:t>
      </w:r>
      <w:r>
        <w:t>and</w:t>
      </w:r>
      <w:r>
        <w:rPr>
          <w:spacing w:val="-3"/>
        </w:rPr>
        <w:t xml:space="preserve"> </w:t>
      </w:r>
      <w:r>
        <w:rPr>
          <w:spacing w:val="-2"/>
        </w:rPr>
        <w:t>Safety</w:t>
      </w:r>
    </w:p>
    <w:p w14:paraId="35D5E94C" w14:textId="77777777" w:rsidR="0080310D" w:rsidRDefault="004830AF">
      <w:pPr>
        <w:pStyle w:val="BodyText"/>
        <w:spacing w:before="276"/>
        <w:ind w:left="720" w:right="714"/>
        <w:jc w:val="both"/>
      </w:pPr>
      <w:r>
        <w:t>EHS personnel will provide guidance to PIs for registering with state and federal agencies to become registrants, including guidance on processes and form requirements. They will provide advice and guidance for storage and assist with disposal of controlled substances.</w:t>
      </w:r>
    </w:p>
    <w:p w14:paraId="6A63E931" w14:textId="77777777" w:rsidR="0080310D" w:rsidRDefault="004830AF">
      <w:pPr>
        <w:pStyle w:val="Heading1"/>
        <w:numPr>
          <w:ilvl w:val="0"/>
          <w:numId w:val="6"/>
        </w:numPr>
        <w:tabs>
          <w:tab w:val="left" w:pos="1439"/>
        </w:tabs>
        <w:spacing w:before="276"/>
        <w:ind w:left="1439" w:hanging="359"/>
      </w:pPr>
      <w:bookmarkStart w:id="5" w:name="5._ASSOCIATED_DOCUMENTS"/>
      <w:bookmarkEnd w:id="5"/>
      <w:r>
        <w:t>ASSOCIATED</w:t>
      </w:r>
      <w:r>
        <w:rPr>
          <w:spacing w:val="-7"/>
        </w:rPr>
        <w:t xml:space="preserve"> </w:t>
      </w:r>
      <w:r>
        <w:rPr>
          <w:spacing w:val="-2"/>
        </w:rPr>
        <w:t>DOCUMENTS</w:t>
      </w:r>
    </w:p>
    <w:p w14:paraId="15F5DBD0" w14:textId="77777777" w:rsidR="0080310D" w:rsidRDefault="0080310D">
      <w:pPr>
        <w:pStyle w:val="BodyText"/>
        <w:rPr>
          <w:b/>
        </w:rPr>
      </w:pPr>
    </w:p>
    <w:p w14:paraId="13FE7A54" w14:textId="77777777" w:rsidR="0080310D" w:rsidRDefault="004830AF">
      <w:pPr>
        <w:pStyle w:val="BodyText"/>
        <w:ind w:left="720"/>
      </w:pPr>
      <w:r>
        <w:t>EHS_SOP350_FORM001</w:t>
      </w:r>
      <w:r>
        <w:rPr>
          <w:spacing w:val="-8"/>
        </w:rPr>
        <w:t xml:space="preserve"> </w:t>
      </w:r>
      <w:r>
        <w:t>Biennial</w:t>
      </w:r>
      <w:r>
        <w:rPr>
          <w:spacing w:val="-6"/>
        </w:rPr>
        <w:t xml:space="preserve"> </w:t>
      </w:r>
      <w:r>
        <w:t>Inventory</w:t>
      </w:r>
      <w:r>
        <w:rPr>
          <w:spacing w:val="-7"/>
        </w:rPr>
        <w:t xml:space="preserve"> </w:t>
      </w:r>
      <w:r>
        <w:rPr>
          <w:spacing w:val="-5"/>
        </w:rPr>
        <w:t>Log</w:t>
      </w:r>
    </w:p>
    <w:p w14:paraId="24A7B219" w14:textId="7A02B361" w:rsidR="0080310D" w:rsidRDefault="004830AF">
      <w:pPr>
        <w:pStyle w:val="BodyText"/>
        <w:tabs>
          <w:tab w:val="left" w:pos="3787"/>
          <w:tab w:val="left" w:pos="5169"/>
          <w:tab w:val="left" w:pos="6715"/>
          <w:tab w:val="left" w:pos="7163"/>
          <w:tab w:val="left" w:pos="8724"/>
        </w:tabs>
        <w:ind w:left="720" w:right="715"/>
      </w:pPr>
      <w:r>
        <w:rPr>
          <w:spacing w:val="-2"/>
        </w:rPr>
        <w:t>EHS_SOP350_FORM002</w:t>
      </w:r>
      <w:r>
        <w:t xml:space="preserve"> </w:t>
      </w:r>
      <w:r>
        <w:rPr>
          <w:spacing w:val="-2"/>
        </w:rPr>
        <w:t>Controlled</w:t>
      </w:r>
      <w:r>
        <w:t xml:space="preserve"> </w:t>
      </w:r>
      <w:r>
        <w:rPr>
          <w:spacing w:val="-2"/>
        </w:rPr>
        <w:t>Substances</w:t>
      </w:r>
      <w:r>
        <w:t xml:space="preserve"> </w:t>
      </w:r>
      <w:r>
        <w:rPr>
          <w:spacing w:val="-10"/>
        </w:rPr>
        <w:t>&amp;</w:t>
      </w:r>
      <w:r>
        <w:t xml:space="preserve"> </w:t>
      </w:r>
      <w:r>
        <w:rPr>
          <w:spacing w:val="-2"/>
        </w:rPr>
        <w:t>Prescription</w:t>
      </w:r>
      <w:r>
        <w:t xml:space="preserve"> </w:t>
      </w:r>
      <w:r>
        <w:rPr>
          <w:spacing w:val="-2"/>
        </w:rPr>
        <w:t xml:space="preserve">Drugs </w:t>
      </w:r>
      <w:r>
        <w:t>Procedure Consent Form</w:t>
      </w:r>
    </w:p>
    <w:p w14:paraId="50682ACB" w14:textId="3F326F9A" w:rsidR="0080310D" w:rsidRDefault="004830AF">
      <w:pPr>
        <w:pStyle w:val="BodyText"/>
        <w:tabs>
          <w:tab w:val="left" w:pos="3698"/>
          <w:tab w:val="left" w:pos="4394"/>
          <w:tab w:val="left" w:pos="5687"/>
          <w:tab w:val="left" w:pos="7027"/>
          <w:tab w:val="left" w:pos="8321"/>
        </w:tabs>
        <w:ind w:left="720" w:right="716"/>
      </w:pPr>
      <w:r>
        <w:t xml:space="preserve">EHS_SOP350_FORM003 Controlled Substance Receipt Form EHS_SOP350_FORM004 Controlled Substance Spill Record Form </w:t>
      </w:r>
      <w:r>
        <w:rPr>
          <w:spacing w:val="-2"/>
        </w:rPr>
        <w:t>EHS_SOP350_FORM005</w:t>
      </w:r>
      <w:r w:rsidR="00031C47">
        <w:t xml:space="preserve"> </w:t>
      </w:r>
      <w:hyperlink r:id="rId31">
        <w:r>
          <w:rPr>
            <w:spacing w:val="-4"/>
          </w:rPr>
          <w:t>EHS</w:t>
        </w:r>
        <w:r w:rsidR="00031C47">
          <w:t xml:space="preserve"> </w:t>
        </w:r>
        <w:r>
          <w:rPr>
            <w:spacing w:val="-2"/>
          </w:rPr>
          <w:t>Controlled</w:t>
        </w:r>
        <w:r w:rsidR="00031C47">
          <w:t xml:space="preserve"> </w:t>
        </w:r>
        <w:r>
          <w:rPr>
            <w:spacing w:val="-2"/>
          </w:rPr>
          <w:t>Substance</w:t>
        </w:r>
        <w:r w:rsidR="00031C47">
          <w:t xml:space="preserve"> </w:t>
        </w:r>
        <w:r>
          <w:rPr>
            <w:spacing w:val="-2"/>
          </w:rPr>
          <w:t>Inspection</w:t>
        </w:r>
        <w:r w:rsidR="00031C47">
          <w:t xml:space="preserve"> </w:t>
        </w:r>
        <w:r>
          <w:rPr>
            <w:spacing w:val="-2"/>
          </w:rPr>
          <w:t>Self-Audit</w:t>
        </w:r>
      </w:hyperlink>
      <w:r w:rsidR="00031C47">
        <w:rPr>
          <w:spacing w:val="-2"/>
        </w:rPr>
        <w:t xml:space="preserve"> </w:t>
      </w:r>
      <w:hyperlink r:id="rId32">
        <w:r>
          <w:rPr>
            <w:spacing w:val="-2"/>
          </w:rPr>
          <w:t>Checklist</w:t>
        </w:r>
      </w:hyperlink>
    </w:p>
    <w:p w14:paraId="473E930D" w14:textId="75456BC1" w:rsidR="0080310D" w:rsidRDefault="004830AF">
      <w:pPr>
        <w:pStyle w:val="BodyText"/>
        <w:ind w:left="720" w:right="1724"/>
      </w:pPr>
      <w:r>
        <w:t>EHS_SOP350_FORM006 Initial Inventory Log EHS_SOP350_FORM007</w:t>
      </w:r>
      <w:r>
        <w:rPr>
          <w:spacing w:val="-17"/>
        </w:rPr>
        <w:t xml:space="preserve"> </w:t>
      </w:r>
      <w:r>
        <w:t>Employee</w:t>
      </w:r>
      <w:r>
        <w:rPr>
          <w:spacing w:val="-17"/>
        </w:rPr>
        <w:t xml:space="preserve"> </w:t>
      </w:r>
      <w:r>
        <w:t xml:space="preserve">Questionnaire EHS_SOP350_FORM008 </w:t>
      </w:r>
      <w:hyperlink r:id="rId33">
        <w:r>
          <w:t>Use Log</w:t>
        </w:r>
      </w:hyperlink>
    </w:p>
    <w:p w14:paraId="0343B30B" w14:textId="44102FFA" w:rsidR="004830AF" w:rsidRDefault="004830AF">
      <w:pPr>
        <w:pStyle w:val="BodyText"/>
        <w:ind w:left="720" w:right="1724"/>
      </w:pPr>
      <w:r>
        <w:t>EHS_SOP350_FORM0010 Authorization Update</w:t>
      </w:r>
    </w:p>
    <w:p w14:paraId="6FC3C2AC" w14:textId="2DC396F6" w:rsidR="004830AF" w:rsidRDefault="00031C47">
      <w:pPr>
        <w:pStyle w:val="BodyText"/>
        <w:ind w:left="720" w:right="1724"/>
      </w:pPr>
      <w:r>
        <w:t>EHS_SOP350_INST001 Loss and Diversion</w:t>
      </w:r>
    </w:p>
    <w:p w14:paraId="469C2361" w14:textId="19FC8E1A" w:rsidR="0080310D" w:rsidRDefault="004830AF">
      <w:pPr>
        <w:pStyle w:val="BodyText"/>
        <w:ind w:left="719"/>
        <w:rPr>
          <w:spacing w:val="-6"/>
        </w:rPr>
      </w:pPr>
      <w:r>
        <w:t>EHS_SOP350_INST002</w:t>
      </w:r>
      <w:r>
        <w:rPr>
          <w:spacing w:val="-5"/>
        </w:rPr>
        <w:t xml:space="preserve"> </w:t>
      </w:r>
      <w:r>
        <w:t>Controlled</w:t>
      </w:r>
      <w:r>
        <w:rPr>
          <w:spacing w:val="-7"/>
        </w:rPr>
        <w:t xml:space="preserve"> </w:t>
      </w:r>
      <w:r>
        <w:t>Substance</w:t>
      </w:r>
      <w:r>
        <w:rPr>
          <w:spacing w:val="-5"/>
        </w:rPr>
        <w:t xml:space="preserve"> </w:t>
      </w:r>
      <w:r>
        <w:t>Purchasing</w:t>
      </w:r>
    </w:p>
    <w:p w14:paraId="08E4404F" w14:textId="438322C6" w:rsidR="00031C47" w:rsidRDefault="00031C47">
      <w:pPr>
        <w:pStyle w:val="BodyText"/>
        <w:ind w:left="719"/>
      </w:pPr>
      <w:r>
        <w:rPr>
          <w:spacing w:val="-6"/>
        </w:rPr>
        <w:t>EHS_SOP350_INST003 Disposal Procedure</w:t>
      </w:r>
    </w:p>
    <w:p w14:paraId="5591008D" w14:textId="18D9E3BE" w:rsidR="0080310D" w:rsidRDefault="004830AF">
      <w:pPr>
        <w:pStyle w:val="BodyText"/>
        <w:ind w:left="720" w:right="1724"/>
      </w:pPr>
      <w:r>
        <w:t>EHS_SOP340 Laboratory Close-out Procedures</w:t>
      </w:r>
    </w:p>
    <w:p w14:paraId="40E67F6E" w14:textId="77777777" w:rsidR="0080310D" w:rsidRDefault="0080310D">
      <w:pPr>
        <w:pStyle w:val="BodyText"/>
      </w:pPr>
    </w:p>
    <w:p w14:paraId="65B3676A" w14:textId="77777777" w:rsidR="0080310D" w:rsidRDefault="004830AF">
      <w:pPr>
        <w:pStyle w:val="Heading1"/>
        <w:numPr>
          <w:ilvl w:val="0"/>
          <w:numId w:val="6"/>
        </w:numPr>
        <w:tabs>
          <w:tab w:val="left" w:pos="1439"/>
        </w:tabs>
        <w:ind w:left="1439" w:hanging="359"/>
      </w:pPr>
      <w:bookmarkStart w:id="6" w:name="6._PROCEDURE"/>
      <w:bookmarkEnd w:id="6"/>
      <w:r>
        <w:rPr>
          <w:spacing w:val="-2"/>
        </w:rPr>
        <w:t>PROCEDURE</w:t>
      </w:r>
    </w:p>
    <w:p w14:paraId="2E934026" w14:textId="77777777" w:rsidR="0080310D" w:rsidRDefault="0080310D">
      <w:pPr>
        <w:pStyle w:val="BodyText"/>
        <w:rPr>
          <w:b/>
        </w:rPr>
      </w:pPr>
    </w:p>
    <w:p w14:paraId="6210C832" w14:textId="77777777" w:rsidR="0080310D" w:rsidRDefault="004830AF">
      <w:pPr>
        <w:ind w:left="720"/>
        <w:rPr>
          <w:b/>
          <w:sz w:val="24"/>
        </w:rPr>
      </w:pPr>
      <w:r>
        <w:rPr>
          <w:b/>
          <w:sz w:val="24"/>
        </w:rPr>
        <w:t>APPLYING</w:t>
      </w:r>
      <w:r>
        <w:rPr>
          <w:b/>
          <w:spacing w:val="-3"/>
          <w:sz w:val="24"/>
        </w:rPr>
        <w:t xml:space="preserve"> </w:t>
      </w:r>
      <w:r>
        <w:rPr>
          <w:b/>
          <w:sz w:val="24"/>
        </w:rPr>
        <w:t>FOR</w:t>
      </w:r>
      <w:r>
        <w:rPr>
          <w:b/>
          <w:spacing w:val="-2"/>
          <w:sz w:val="24"/>
        </w:rPr>
        <w:t xml:space="preserve"> </w:t>
      </w:r>
      <w:r>
        <w:rPr>
          <w:b/>
          <w:sz w:val="24"/>
        </w:rPr>
        <w:t>STATE</w:t>
      </w:r>
      <w:r>
        <w:rPr>
          <w:b/>
          <w:spacing w:val="-1"/>
          <w:sz w:val="24"/>
        </w:rPr>
        <w:t xml:space="preserve"> </w:t>
      </w:r>
      <w:r>
        <w:rPr>
          <w:b/>
          <w:sz w:val="24"/>
        </w:rPr>
        <w:t>OF</w:t>
      </w:r>
      <w:r>
        <w:rPr>
          <w:b/>
          <w:spacing w:val="-2"/>
          <w:sz w:val="24"/>
        </w:rPr>
        <w:t xml:space="preserve"> </w:t>
      </w:r>
      <w:r>
        <w:rPr>
          <w:b/>
          <w:sz w:val="24"/>
        </w:rPr>
        <w:t>FLORIDA</w:t>
      </w:r>
      <w:r>
        <w:rPr>
          <w:b/>
          <w:spacing w:val="-10"/>
          <w:sz w:val="24"/>
        </w:rPr>
        <w:t xml:space="preserve"> </w:t>
      </w:r>
      <w:r>
        <w:rPr>
          <w:b/>
          <w:sz w:val="24"/>
        </w:rPr>
        <w:t>PRESCRIPTION</w:t>
      </w:r>
      <w:r>
        <w:rPr>
          <w:b/>
          <w:spacing w:val="-1"/>
          <w:sz w:val="24"/>
        </w:rPr>
        <w:t xml:space="preserve"> </w:t>
      </w:r>
      <w:r>
        <w:rPr>
          <w:b/>
          <w:spacing w:val="-2"/>
          <w:sz w:val="24"/>
        </w:rPr>
        <w:t>EXEMPTION</w:t>
      </w:r>
    </w:p>
    <w:p w14:paraId="38DD1090" w14:textId="77777777" w:rsidR="0080310D" w:rsidRDefault="004830AF">
      <w:pPr>
        <w:pStyle w:val="Heading2"/>
        <w:jc w:val="left"/>
      </w:pPr>
      <w:r>
        <w:rPr>
          <w:spacing w:val="-2"/>
        </w:rPr>
        <w:t>Introduction</w:t>
      </w:r>
    </w:p>
    <w:p w14:paraId="5CE2B47E" w14:textId="4EFCF743" w:rsidR="0080310D" w:rsidRDefault="004830AF">
      <w:pPr>
        <w:pStyle w:val="BodyText"/>
        <w:spacing w:before="80"/>
        <w:ind w:left="720" w:right="712"/>
        <w:jc w:val="both"/>
      </w:pPr>
      <w:r>
        <w:t xml:space="preserve">Obtaining and possessing prescription drugs, analytical standards or medical gases without a valid prescription from an authorized licensed practitioner is </w:t>
      </w:r>
      <w:r>
        <w:lastRenderedPageBreak/>
        <w:t>illegal. However, the Florida Department of Business and Professional</w:t>
      </w:r>
      <w:r>
        <w:rPr>
          <w:spacing w:val="40"/>
        </w:rPr>
        <w:t xml:space="preserve"> </w:t>
      </w:r>
      <w:r>
        <w:t xml:space="preserve">Regulation (DBPR) is authorized to issue Letters of Exemption to facilitate lawful possession of prescription drugs, analytical standards and medical gases. Qualified purposes for such exemptions include lawful research, teaching, and testing. University employees who are performing research protocols or teaching professional programs are qualified to receive Letters of Exemption. The State of Florida Letter of Exemption is valid for two years, and </w:t>
      </w:r>
      <w:r w:rsidR="00031C47">
        <w:t xml:space="preserve">will require a new application </w:t>
      </w:r>
      <w:r>
        <w:rPr>
          <w:spacing w:val="-2"/>
        </w:rPr>
        <w:t>thereafter.</w:t>
      </w:r>
    </w:p>
    <w:p w14:paraId="0033406F" w14:textId="77777777" w:rsidR="0080310D" w:rsidRDefault="0080310D">
      <w:pPr>
        <w:pStyle w:val="BodyText"/>
      </w:pPr>
    </w:p>
    <w:p w14:paraId="493BA310" w14:textId="77777777" w:rsidR="0080310D" w:rsidRDefault="004830AF">
      <w:pPr>
        <w:pStyle w:val="Heading2"/>
      </w:pPr>
      <w:r>
        <w:t>Application</w:t>
      </w:r>
      <w:r>
        <w:rPr>
          <w:spacing w:val="-7"/>
        </w:rPr>
        <w:t xml:space="preserve"> </w:t>
      </w:r>
      <w:r>
        <w:rPr>
          <w:spacing w:val="-2"/>
        </w:rPr>
        <w:t>Requirements</w:t>
      </w:r>
    </w:p>
    <w:p w14:paraId="0FEB7442" w14:textId="77777777" w:rsidR="0080310D" w:rsidRDefault="0080310D">
      <w:pPr>
        <w:pStyle w:val="BodyText"/>
        <w:rPr>
          <w:b/>
        </w:rPr>
      </w:pPr>
    </w:p>
    <w:p w14:paraId="56D7C8DD" w14:textId="68E4D17E" w:rsidR="0080310D" w:rsidRDefault="004830AF">
      <w:pPr>
        <w:pStyle w:val="BodyText"/>
        <w:ind w:left="720" w:right="717"/>
        <w:jc w:val="both"/>
      </w:pPr>
      <w:r>
        <w:t>Applications must be submitted online. The information requirements that must be collected by the applicant prior to beginning the application process are as follows:</w:t>
      </w:r>
    </w:p>
    <w:p w14:paraId="2F41ABAA" w14:textId="77777777" w:rsidR="0080310D" w:rsidRDefault="0080310D">
      <w:pPr>
        <w:pStyle w:val="BodyText"/>
      </w:pPr>
    </w:p>
    <w:p w14:paraId="05636962" w14:textId="77777777" w:rsidR="0080310D" w:rsidRDefault="004830AF">
      <w:pPr>
        <w:pStyle w:val="ListParagraph"/>
        <w:numPr>
          <w:ilvl w:val="0"/>
          <w:numId w:val="5"/>
        </w:numPr>
        <w:tabs>
          <w:tab w:val="left" w:pos="1079"/>
        </w:tabs>
        <w:spacing w:before="1"/>
        <w:ind w:left="1079" w:hanging="359"/>
        <w:rPr>
          <w:sz w:val="24"/>
        </w:rPr>
      </w:pPr>
      <w:r>
        <w:rPr>
          <w:sz w:val="24"/>
        </w:rPr>
        <w:t>Explanation/summary</w:t>
      </w:r>
      <w:r>
        <w:rPr>
          <w:spacing w:val="-8"/>
          <w:sz w:val="24"/>
        </w:rPr>
        <w:t xml:space="preserve"> </w:t>
      </w:r>
      <w:r>
        <w:rPr>
          <w:sz w:val="24"/>
        </w:rPr>
        <w:t>of</w:t>
      </w:r>
      <w:r>
        <w:rPr>
          <w:spacing w:val="-1"/>
          <w:sz w:val="24"/>
        </w:rPr>
        <w:t xml:space="preserve"> </w:t>
      </w:r>
      <w:r>
        <w:rPr>
          <w:sz w:val="24"/>
        </w:rPr>
        <w:t>the</w:t>
      </w:r>
      <w:r>
        <w:rPr>
          <w:spacing w:val="-3"/>
          <w:sz w:val="24"/>
        </w:rPr>
        <w:t xml:space="preserve"> </w:t>
      </w:r>
      <w:r>
        <w:rPr>
          <w:sz w:val="24"/>
        </w:rPr>
        <w:t>conditions</w:t>
      </w:r>
      <w:r>
        <w:rPr>
          <w:spacing w:val="-4"/>
          <w:sz w:val="24"/>
        </w:rPr>
        <w:t xml:space="preserve"> </w:t>
      </w:r>
      <w:r>
        <w:rPr>
          <w:sz w:val="24"/>
        </w:rPr>
        <w:t>of</w:t>
      </w:r>
      <w:r>
        <w:rPr>
          <w:spacing w:val="-3"/>
          <w:sz w:val="24"/>
        </w:rPr>
        <w:t xml:space="preserve"> </w:t>
      </w:r>
      <w:r>
        <w:rPr>
          <w:sz w:val="24"/>
        </w:rPr>
        <w:t>research,</w:t>
      </w:r>
      <w:r>
        <w:rPr>
          <w:spacing w:val="-3"/>
          <w:sz w:val="24"/>
        </w:rPr>
        <w:t xml:space="preserve"> </w:t>
      </w:r>
      <w:r>
        <w:rPr>
          <w:sz w:val="24"/>
        </w:rPr>
        <w:t>teaching,</w:t>
      </w:r>
      <w:r>
        <w:rPr>
          <w:spacing w:val="-3"/>
          <w:sz w:val="24"/>
        </w:rPr>
        <w:t xml:space="preserve"> </w:t>
      </w:r>
      <w:r>
        <w:rPr>
          <w:sz w:val="24"/>
        </w:rPr>
        <w:t>or</w:t>
      </w:r>
      <w:r>
        <w:rPr>
          <w:spacing w:val="-4"/>
          <w:sz w:val="24"/>
        </w:rPr>
        <w:t xml:space="preserve"> </w:t>
      </w:r>
      <w:r>
        <w:rPr>
          <w:spacing w:val="-2"/>
          <w:sz w:val="24"/>
        </w:rPr>
        <w:t>testing.</w:t>
      </w:r>
    </w:p>
    <w:p w14:paraId="51CE9929" w14:textId="77777777" w:rsidR="0080310D" w:rsidRDefault="004830AF">
      <w:pPr>
        <w:pStyle w:val="ListParagraph"/>
        <w:numPr>
          <w:ilvl w:val="0"/>
          <w:numId w:val="5"/>
        </w:numPr>
        <w:tabs>
          <w:tab w:val="left" w:pos="1080"/>
        </w:tabs>
        <w:ind w:right="714"/>
        <w:rPr>
          <w:sz w:val="24"/>
        </w:rPr>
      </w:pPr>
      <w:r>
        <w:rPr>
          <w:sz w:val="24"/>
        </w:rPr>
        <w:t>Exact</w:t>
      </w:r>
      <w:r>
        <w:rPr>
          <w:spacing w:val="40"/>
          <w:sz w:val="24"/>
        </w:rPr>
        <w:t xml:space="preserve"> </w:t>
      </w:r>
      <w:r>
        <w:rPr>
          <w:sz w:val="24"/>
        </w:rPr>
        <w:t>physical</w:t>
      </w:r>
      <w:r>
        <w:rPr>
          <w:spacing w:val="40"/>
          <w:sz w:val="24"/>
        </w:rPr>
        <w:t xml:space="preserve"> </w:t>
      </w:r>
      <w:r>
        <w:rPr>
          <w:sz w:val="24"/>
        </w:rPr>
        <w:t>and</w:t>
      </w:r>
      <w:r>
        <w:rPr>
          <w:spacing w:val="40"/>
          <w:sz w:val="24"/>
        </w:rPr>
        <w:t xml:space="preserve"> </w:t>
      </w:r>
      <w:r>
        <w:rPr>
          <w:sz w:val="24"/>
        </w:rPr>
        <w:t>mailing</w:t>
      </w:r>
      <w:r>
        <w:rPr>
          <w:spacing w:val="40"/>
          <w:sz w:val="24"/>
        </w:rPr>
        <w:t xml:space="preserve"> </w:t>
      </w:r>
      <w:r>
        <w:rPr>
          <w:sz w:val="24"/>
        </w:rPr>
        <w:t>address</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location</w:t>
      </w:r>
      <w:r>
        <w:rPr>
          <w:spacing w:val="40"/>
          <w:sz w:val="24"/>
        </w:rPr>
        <w:t xml:space="preserve"> </w:t>
      </w:r>
      <w:r>
        <w:rPr>
          <w:sz w:val="24"/>
        </w:rPr>
        <w:t>where</w:t>
      </w:r>
      <w:r>
        <w:rPr>
          <w:spacing w:val="40"/>
          <w:sz w:val="24"/>
        </w:rPr>
        <w:t xml:space="preserve"> </w:t>
      </w:r>
      <w:r>
        <w:rPr>
          <w:sz w:val="24"/>
        </w:rPr>
        <w:t>the</w:t>
      </w:r>
      <w:r>
        <w:rPr>
          <w:spacing w:val="40"/>
          <w:sz w:val="24"/>
        </w:rPr>
        <w:t xml:space="preserve"> </w:t>
      </w:r>
      <w:r>
        <w:rPr>
          <w:sz w:val="24"/>
        </w:rPr>
        <w:t>prescription drugs, analytical standards, controlled substances or gases will be stored.</w:t>
      </w:r>
    </w:p>
    <w:p w14:paraId="7DD69B73" w14:textId="77777777" w:rsidR="0080310D" w:rsidRDefault="004830AF">
      <w:pPr>
        <w:pStyle w:val="ListParagraph"/>
        <w:numPr>
          <w:ilvl w:val="0"/>
          <w:numId w:val="5"/>
        </w:numPr>
        <w:tabs>
          <w:tab w:val="left" w:pos="1079"/>
        </w:tabs>
        <w:ind w:left="1079" w:right="712"/>
        <w:rPr>
          <w:sz w:val="24"/>
        </w:rPr>
      </w:pPr>
      <w:r>
        <w:rPr>
          <w:sz w:val="24"/>
        </w:rPr>
        <w:t>The</w:t>
      </w:r>
      <w:r>
        <w:rPr>
          <w:spacing w:val="37"/>
          <w:sz w:val="24"/>
        </w:rPr>
        <w:t xml:space="preserve"> </w:t>
      </w:r>
      <w:r>
        <w:rPr>
          <w:sz w:val="24"/>
        </w:rPr>
        <w:t>specific</w:t>
      </w:r>
      <w:r>
        <w:rPr>
          <w:spacing w:val="36"/>
          <w:sz w:val="24"/>
        </w:rPr>
        <w:t xml:space="preserve"> </w:t>
      </w:r>
      <w:r>
        <w:rPr>
          <w:sz w:val="24"/>
        </w:rPr>
        <w:t>drugs</w:t>
      </w:r>
      <w:r>
        <w:rPr>
          <w:spacing w:val="36"/>
          <w:sz w:val="24"/>
        </w:rPr>
        <w:t xml:space="preserve"> </w:t>
      </w:r>
      <w:r>
        <w:rPr>
          <w:sz w:val="24"/>
        </w:rPr>
        <w:t>and</w:t>
      </w:r>
      <w:r>
        <w:rPr>
          <w:spacing w:val="37"/>
          <w:sz w:val="24"/>
        </w:rPr>
        <w:t xml:space="preserve"> </w:t>
      </w:r>
      <w:r>
        <w:rPr>
          <w:sz w:val="24"/>
        </w:rPr>
        <w:t>or</w:t>
      </w:r>
      <w:r>
        <w:rPr>
          <w:spacing w:val="35"/>
          <w:sz w:val="24"/>
        </w:rPr>
        <w:t xml:space="preserve"> </w:t>
      </w:r>
      <w:r>
        <w:rPr>
          <w:sz w:val="24"/>
        </w:rPr>
        <w:t>gases</w:t>
      </w:r>
      <w:r>
        <w:rPr>
          <w:spacing w:val="36"/>
          <w:sz w:val="24"/>
        </w:rPr>
        <w:t xml:space="preserve"> </w:t>
      </w:r>
      <w:r>
        <w:rPr>
          <w:sz w:val="24"/>
        </w:rPr>
        <w:t>required</w:t>
      </w:r>
      <w:r>
        <w:rPr>
          <w:spacing w:val="32"/>
          <w:sz w:val="24"/>
        </w:rPr>
        <w:t xml:space="preserve"> </w:t>
      </w:r>
      <w:r>
        <w:rPr>
          <w:sz w:val="24"/>
        </w:rPr>
        <w:t>for</w:t>
      </w:r>
      <w:r>
        <w:rPr>
          <w:spacing w:val="35"/>
          <w:sz w:val="24"/>
        </w:rPr>
        <w:t xml:space="preserve"> </w:t>
      </w:r>
      <w:r>
        <w:rPr>
          <w:sz w:val="24"/>
        </w:rPr>
        <w:t>research,</w:t>
      </w:r>
      <w:r>
        <w:rPr>
          <w:spacing w:val="34"/>
          <w:sz w:val="24"/>
        </w:rPr>
        <w:t xml:space="preserve"> </w:t>
      </w:r>
      <w:r>
        <w:rPr>
          <w:sz w:val="24"/>
        </w:rPr>
        <w:t>teaching,</w:t>
      </w:r>
      <w:r>
        <w:rPr>
          <w:spacing w:val="34"/>
          <w:sz w:val="24"/>
        </w:rPr>
        <w:t xml:space="preserve"> </w:t>
      </w:r>
      <w:r>
        <w:rPr>
          <w:sz w:val="24"/>
        </w:rPr>
        <w:t>or</w:t>
      </w:r>
      <w:r>
        <w:rPr>
          <w:spacing w:val="35"/>
          <w:sz w:val="24"/>
        </w:rPr>
        <w:t xml:space="preserve"> </w:t>
      </w:r>
      <w:r>
        <w:rPr>
          <w:sz w:val="24"/>
        </w:rPr>
        <w:t xml:space="preserve">testing </w:t>
      </w:r>
      <w:r>
        <w:rPr>
          <w:spacing w:val="-2"/>
          <w:sz w:val="24"/>
        </w:rPr>
        <w:t>activities.</w:t>
      </w:r>
    </w:p>
    <w:p w14:paraId="2D1677A6" w14:textId="77777777" w:rsidR="0080310D" w:rsidRDefault="004830AF">
      <w:pPr>
        <w:pStyle w:val="ListParagraph"/>
        <w:numPr>
          <w:ilvl w:val="0"/>
          <w:numId w:val="5"/>
        </w:numPr>
        <w:tabs>
          <w:tab w:val="left" w:pos="1080"/>
        </w:tabs>
        <w:ind w:right="716"/>
        <w:rPr>
          <w:sz w:val="24"/>
        </w:rPr>
      </w:pPr>
      <w:r>
        <w:rPr>
          <w:sz w:val="24"/>
        </w:rPr>
        <w:t>The name of the suppliers for each controlled substance, prescription drug,</w:t>
      </w:r>
      <w:r>
        <w:rPr>
          <w:spacing w:val="80"/>
          <w:sz w:val="24"/>
        </w:rPr>
        <w:t xml:space="preserve"> </w:t>
      </w:r>
      <w:r>
        <w:rPr>
          <w:sz w:val="24"/>
        </w:rPr>
        <w:t>analytical standards and or gases.</w:t>
      </w:r>
    </w:p>
    <w:p w14:paraId="51F8F24C" w14:textId="77777777" w:rsidR="0080310D" w:rsidRDefault="004830AF">
      <w:pPr>
        <w:pStyle w:val="ListParagraph"/>
        <w:numPr>
          <w:ilvl w:val="0"/>
          <w:numId w:val="5"/>
        </w:numPr>
        <w:tabs>
          <w:tab w:val="left" w:pos="1079"/>
        </w:tabs>
        <w:ind w:left="1079" w:hanging="359"/>
        <w:rPr>
          <w:sz w:val="24"/>
        </w:rPr>
      </w:pPr>
      <w:r>
        <w:rPr>
          <w:sz w:val="24"/>
        </w:rPr>
        <w:t>The</w:t>
      </w:r>
      <w:r>
        <w:rPr>
          <w:spacing w:val="-4"/>
          <w:sz w:val="24"/>
        </w:rPr>
        <w:t xml:space="preserve"> </w:t>
      </w:r>
      <w:r>
        <w:rPr>
          <w:sz w:val="24"/>
        </w:rPr>
        <w:t>state</w:t>
      </w:r>
      <w:r>
        <w:rPr>
          <w:spacing w:val="-3"/>
          <w:sz w:val="24"/>
        </w:rPr>
        <w:t xml:space="preserve"> </w:t>
      </w:r>
      <w:r>
        <w:rPr>
          <w:sz w:val="24"/>
        </w:rPr>
        <w:t>permit</w:t>
      </w:r>
      <w:r>
        <w:rPr>
          <w:spacing w:val="-5"/>
          <w:sz w:val="24"/>
        </w:rPr>
        <w:t xml:space="preserve"> </w:t>
      </w:r>
      <w:r>
        <w:rPr>
          <w:sz w:val="24"/>
        </w:rPr>
        <w:t>or</w:t>
      </w:r>
      <w:r>
        <w:rPr>
          <w:spacing w:val="-3"/>
          <w:sz w:val="24"/>
        </w:rPr>
        <w:t xml:space="preserve"> </w:t>
      </w:r>
      <w:r>
        <w:rPr>
          <w:sz w:val="24"/>
        </w:rPr>
        <w:t>license</w:t>
      </w:r>
      <w:r>
        <w:rPr>
          <w:spacing w:val="-2"/>
          <w:sz w:val="24"/>
        </w:rPr>
        <w:t xml:space="preserve"> </w:t>
      </w:r>
      <w:r>
        <w:rPr>
          <w:sz w:val="24"/>
        </w:rPr>
        <w:t>number</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z w:val="24"/>
        </w:rPr>
        <w:t>suppliers</w:t>
      </w:r>
      <w:r>
        <w:rPr>
          <w:spacing w:val="-3"/>
          <w:sz w:val="24"/>
        </w:rPr>
        <w:t xml:space="preserve"> </w:t>
      </w:r>
      <w:r>
        <w:rPr>
          <w:sz w:val="24"/>
        </w:rPr>
        <w:t>for</w:t>
      </w:r>
      <w:r>
        <w:rPr>
          <w:spacing w:val="-3"/>
          <w:sz w:val="24"/>
        </w:rPr>
        <w:t xml:space="preserve"> </w:t>
      </w:r>
      <w:r>
        <w:rPr>
          <w:sz w:val="24"/>
        </w:rPr>
        <w:t>each</w:t>
      </w:r>
      <w:r>
        <w:rPr>
          <w:spacing w:val="-2"/>
          <w:sz w:val="24"/>
        </w:rPr>
        <w:t xml:space="preserve"> </w:t>
      </w:r>
      <w:r>
        <w:rPr>
          <w:sz w:val="24"/>
        </w:rPr>
        <w:t>prescription</w:t>
      </w:r>
      <w:r>
        <w:rPr>
          <w:spacing w:val="-1"/>
          <w:sz w:val="24"/>
        </w:rPr>
        <w:t xml:space="preserve"> </w:t>
      </w:r>
      <w:r>
        <w:rPr>
          <w:spacing w:val="-2"/>
          <w:sz w:val="24"/>
        </w:rPr>
        <w:t>drug.</w:t>
      </w:r>
    </w:p>
    <w:p w14:paraId="56742307" w14:textId="77777777" w:rsidR="0080310D" w:rsidRDefault="0080310D">
      <w:pPr>
        <w:pStyle w:val="BodyText"/>
      </w:pPr>
    </w:p>
    <w:p w14:paraId="4070A014" w14:textId="77777777" w:rsidR="0080310D" w:rsidRDefault="004830AF">
      <w:pPr>
        <w:pStyle w:val="BodyText"/>
        <w:ind w:left="720" w:right="714"/>
        <w:jc w:val="both"/>
      </w:pPr>
      <w:r>
        <w:t xml:space="preserve">The application requires information from </w:t>
      </w:r>
      <w:hyperlink r:id="rId34">
        <w:r>
          <w:rPr>
            <w:color w:val="0000FF"/>
            <w:u w:val="single" w:color="0000FF"/>
          </w:rPr>
          <w:t>Florida Statutes Chapter 499, Florida</w:t>
        </w:r>
      </w:hyperlink>
      <w:r>
        <w:rPr>
          <w:color w:val="0000FF"/>
        </w:rPr>
        <w:t xml:space="preserve"> </w:t>
      </w:r>
      <w:hyperlink r:id="rId35">
        <w:r>
          <w:rPr>
            <w:color w:val="0000FF"/>
            <w:u w:val="single" w:color="0000FF"/>
          </w:rPr>
          <w:t>Drug and Cosmetic Act</w:t>
        </w:r>
      </w:hyperlink>
      <w:r>
        <w:t>. Failure to fill out the application in its entirety, or failure</w:t>
      </w:r>
      <w:r>
        <w:rPr>
          <w:spacing w:val="40"/>
        </w:rPr>
        <w:t xml:space="preserve"> </w:t>
      </w:r>
      <w:r>
        <w:t>to have it signed by an authorized representative, may result in delay or denial of processing exemptions.</w:t>
      </w:r>
    </w:p>
    <w:p w14:paraId="3BBA059E" w14:textId="77777777" w:rsidR="0080310D" w:rsidRDefault="0080310D">
      <w:pPr>
        <w:pStyle w:val="BodyText"/>
      </w:pPr>
    </w:p>
    <w:p w14:paraId="6A765CE1" w14:textId="77777777" w:rsidR="0080310D" w:rsidRDefault="004830AF">
      <w:pPr>
        <w:pStyle w:val="Heading2"/>
        <w:jc w:val="left"/>
      </w:pPr>
      <w:r>
        <w:rPr>
          <w:spacing w:val="-2"/>
        </w:rPr>
        <w:t>Applying</w:t>
      </w:r>
    </w:p>
    <w:p w14:paraId="59D625D0" w14:textId="77777777" w:rsidR="0080310D" w:rsidRDefault="0080310D">
      <w:pPr>
        <w:pStyle w:val="BodyText"/>
        <w:rPr>
          <w:b/>
        </w:rPr>
      </w:pPr>
    </w:p>
    <w:p w14:paraId="2C2C1EA5" w14:textId="15222A40" w:rsidR="0080310D" w:rsidRDefault="004830AF">
      <w:pPr>
        <w:pStyle w:val="BodyText"/>
        <w:ind w:left="720" w:right="715"/>
        <w:jc w:val="both"/>
      </w:pPr>
      <w:r>
        <w:t xml:space="preserve">Instructions for creating an online account with the Florida Department of Business and Professional Regulation can be found </w:t>
      </w:r>
      <w:hyperlink r:id="rId36">
        <w:r>
          <w:rPr>
            <w:color w:val="0000FF"/>
            <w:u w:val="single" w:color="0000FF"/>
          </w:rPr>
          <w:t>here</w:t>
        </w:r>
      </w:hyperlink>
      <w:r>
        <w:t xml:space="preserve">, and the application for an exemption can be found </w:t>
      </w:r>
      <w:hyperlink r:id="rId37">
        <w:r>
          <w:rPr>
            <w:color w:val="0000FF"/>
            <w:u w:val="single" w:color="0000FF"/>
          </w:rPr>
          <w:t>here</w:t>
        </w:r>
      </w:hyperlink>
      <w:r>
        <w:t>.</w:t>
      </w:r>
    </w:p>
    <w:p w14:paraId="2AEBE7AE" w14:textId="77777777" w:rsidR="0080310D" w:rsidRDefault="004830AF">
      <w:pPr>
        <w:pStyle w:val="BodyText"/>
        <w:spacing w:before="80"/>
        <w:ind w:left="720" w:right="715"/>
      </w:pPr>
      <w:r>
        <w:t>The</w:t>
      </w:r>
      <w:r>
        <w:rPr>
          <w:spacing w:val="40"/>
        </w:rPr>
        <w:t xml:space="preserve"> </w:t>
      </w:r>
      <w:r>
        <w:t>following</w:t>
      </w:r>
      <w:r>
        <w:rPr>
          <w:spacing w:val="40"/>
        </w:rPr>
        <w:t xml:space="preserve"> </w:t>
      </w:r>
      <w:r>
        <w:t>is</w:t>
      </w:r>
      <w:r>
        <w:rPr>
          <w:spacing w:val="64"/>
        </w:rPr>
        <w:t xml:space="preserve"> </w:t>
      </w:r>
      <w:r>
        <w:t>a</w:t>
      </w:r>
      <w:r>
        <w:rPr>
          <w:spacing w:val="64"/>
        </w:rPr>
        <w:t xml:space="preserve"> </w:t>
      </w:r>
      <w:r>
        <w:t>brief</w:t>
      </w:r>
      <w:r>
        <w:rPr>
          <w:spacing w:val="64"/>
        </w:rPr>
        <w:t xml:space="preserve"> </w:t>
      </w:r>
      <w:r>
        <w:t>description</w:t>
      </w:r>
      <w:r>
        <w:rPr>
          <w:spacing w:val="64"/>
        </w:rPr>
        <w:t xml:space="preserve"> </w:t>
      </w:r>
      <w:r>
        <w:t>of</w:t>
      </w:r>
      <w:r>
        <w:rPr>
          <w:spacing w:val="40"/>
        </w:rPr>
        <w:t xml:space="preserve"> </w:t>
      </w:r>
      <w:r>
        <w:t>how</w:t>
      </w:r>
      <w:r>
        <w:rPr>
          <w:spacing w:val="40"/>
        </w:rPr>
        <w:t xml:space="preserve"> </w:t>
      </w:r>
      <w:r>
        <w:t>to</w:t>
      </w:r>
      <w:r>
        <w:rPr>
          <w:spacing w:val="40"/>
        </w:rPr>
        <w:t xml:space="preserve"> </w:t>
      </w:r>
      <w:r>
        <w:t>complete</w:t>
      </w:r>
      <w:r>
        <w:rPr>
          <w:spacing w:val="40"/>
        </w:rPr>
        <w:t xml:space="preserve"> </w:t>
      </w:r>
      <w:r>
        <w:t>each</w:t>
      </w:r>
      <w:r>
        <w:rPr>
          <w:spacing w:val="64"/>
        </w:rPr>
        <w:t xml:space="preserve"> </w:t>
      </w:r>
      <w:r>
        <w:t>section</w:t>
      </w:r>
      <w:r>
        <w:rPr>
          <w:spacing w:val="40"/>
        </w:rPr>
        <w:t xml:space="preserve"> </w:t>
      </w:r>
      <w:r>
        <w:t>of</w:t>
      </w:r>
      <w:r>
        <w:rPr>
          <w:spacing w:val="64"/>
        </w:rPr>
        <w:t xml:space="preserve"> </w:t>
      </w:r>
      <w:r>
        <w:t>the Application for Exemption Registration:</w:t>
      </w:r>
    </w:p>
    <w:p w14:paraId="3723C505" w14:textId="77777777" w:rsidR="0080310D" w:rsidRDefault="0080310D">
      <w:pPr>
        <w:pStyle w:val="BodyText"/>
      </w:pPr>
    </w:p>
    <w:p w14:paraId="724A1D3E" w14:textId="77777777" w:rsidR="0080310D" w:rsidRDefault="004830AF">
      <w:pPr>
        <w:pStyle w:val="Heading2"/>
        <w:numPr>
          <w:ilvl w:val="1"/>
          <w:numId w:val="4"/>
        </w:numPr>
        <w:tabs>
          <w:tab w:val="left" w:pos="1079"/>
        </w:tabs>
        <w:ind w:left="1079" w:hanging="359"/>
      </w:pPr>
      <w:r>
        <w:t>Section</w:t>
      </w:r>
      <w:r>
        <w:rPr>
          <w:spacing w:val="-4"/>
        </w:rPr>
        <w:t xml:space="preserve"> </w:t>
      </w:r>
      <w:r>
        <w:t>I</w:t>
      </w:r>
      <w:r>
        <w:rPr>
          <w:spacing w:val="-5"/>
        </w:rPr>
        <w:t xml:space="preserve"> </w:t>
      </w:r>
      <w:r>
        <w:t>–</w:t>
      </w:r>
      <w:r>
        <w:rPr>
          <w:spacing w:val="-1"/>
        </w:rPr>
        <w:t xml:space="preserve"> </w:t>
      </w:r>
      <w:r>
        <w:t>Application</w:t>
      </w:r>
      <w:r>
        <w:rPr>
          <w:spacing w:val="-3"/>
        </w:rPr>
        <w:t xml:space="preserve"> </w:t>
      </w:r>
      <w:r>
        <w:rPr>
          <w:spacing w:val="-4"/>
        </w:rPr>
        <w:t>Type</w:t>
      </w:r>
    </w:p>
    <w:p w14:paraId="2050B7DB" w14:textId="77777777" w:rsidR="0080310D" w:rsidRDefault="0080310D">
      <w:pPr>
        <w:pStyle w:val="BodyText"/>
        <w:spacing w:before="7"/>
        <w:rPr>
          <w:b/>
        </w:rPr>
      </w:pPr>
    </w:p>
    <w:p w14:paraId="53AA086D" w14:textId="77777777" w:rsidR="0080310D" w:rsidRDefault="004830AF">
      <w:pPr>
        <w:pStyle w:val="ListParagraph"/>
        <w:numPr>
          <w:ilvl w:val="2"/>
          <w:numId w:val="4"/>
        </w:numPr>
        <w:tabs>
          <w:tab w:val="left" w:pos="1440"/>
        </w:tabs>
        <w:spacing w:line="232" w:lineRule="auto"/>
        <w:ind w:right="715"/>
        <w:jc w:val="both"/>
        <w:rPr>
          <w:sz w:val="24"/>
        </w:rPr>
      </w:pPr>
      <w:r>
        <w:rPr>
          <w:sz w:val="24"/>
        </w:rPr>
        <w:t>Check the appropriate application type. If this is an exemption renewal or amendment, the current exemption number is required.</w:t>
      </w:r>
    </w:p>
    <w:p w14:paraId="3D121C75" w14:textId="77777777" w:rsidR="0080310D" w:rsidRDefault="0080310D">
      <w:pPr>
        <w:pStyle w:val="BodyText"/>
        <w:spacing w:before="1"/>
      </w:pPr>
    </w:p>
    <w:p w14:paraId="7ADA8CB1" w14:textId="77777777" w:rsidR="0080310D" w:rsidRDefault="004830AF">
      <w:pPr>
        <w:pStyle w:val="Heading2"/>
        <w:numPr>
          <w:ilvl w:val="1"/>
          <w:numId w:val="4"/>
        </w:numPr>
        <w:tabs>
          <w:tab w:val="left" w:pos="1079"/>
        </w:tabs>
        <w:ind w:left="1079" w:hanging="359"/>
      </w:pPr>
      <w:r>
        <w:t>Section</w:t>
      </w:r>
      <w:r>
        <w:rPr>
          <w:spacing w:val="-5"/>
        </w:rPr>
        <w:t xml:space="preserve"> </w:t>
      </w:r>
      <w:r>
        <w:t>II</w:t>
      </w:r>
      <w:r>
        <w:rPr>
          <w:spacing w:val="-5"/>
        </w:rPr>
        <w:t xml:space="preserve"> </w:t>
      </w:r>
      <w:r>
        <w:t>–</w:t>
      </w:r>
      <w:r>
        <w:rPr>
          <w:spacing w:val="-3"/>
        </w:rPr>
        <w:t xml:space="preserve"> </w:t>
      </w:r>
      <w:r>
        <w:t>Exemption</w:t>
      </w:r>
      <w:r>
        <w:rPr>
          <w:spacing w:val="-3"/>
        </w:rPr>
        <w:t xml:space="preserve"> </w:t>
      </w:r>
      <w:r>
        <w:t>Qualification</w:t>
      </w:r>
      <w:r>
        <w:rPr>
          <w:spacing w:val="-2"/>
        </w:rPr>
        <w:t xml:space="preserve"> Criteria</w:t>
      </w:r>
    </w:p>
    <w:p w14:paraId="2D545A7D" w14:textId="77777777" w:rsidR="0080310D" w:rsidRDefault="004830AF">
      <w:pPr>
        <w:pStyle w:val="ListParagraph"/>
        <w:numPr>
          <w:ilvl w:val="2"/>
          <w:numId w:val="4"/>
        </w:numPr>
        <w:tabs>
          <w:tab w:val="left" w:pos="1440"/>
        </w:tabs>
        <w:spacing w:before="4" w:line="235" w:lineRule="auto"/>
        <w:ind w:right="713"/>
        <w:jc w:val="both"/>
        <w:rPr>
          <w:sz w:val="24"/>
        </w:rPr>
      </w:pPr>
      <w:r>
        <w:rPr>
          <w:sz w:val="24"/>
        </w:rPr>
        <w:t>Check the applicable qualification criteria. Check the “State, federal, or local</w:t>
      </w:r>
      <w:r>
        <w:rPr>
          <w:spacing w:val="-3"/>
          <w:sz w:val="24"/>
        </w:rPr>
        <w:t xml:space="preserve"> </w:t>
      </w:r>
      <w:r>
        <w:rPr>
          <w:sz w:val="24"/>
        </w:rPr>
        <w:t>governmental</w:t>
      </w:r>
      <w:r>
        <w:rPr>
          <w:spacing w:val="-3"/>
          <w:sz w:val="24"/>
        </w:rPr>
        <w:t xml:space="preserve"> </w:t>
      </w:r>
      <w:r>
        <w:rPr>
          <w:sz w:val="24"/>
        </w:rPr>
        <w:t>officer</w:t>
      </w:r>
      <w:r>
        <w:rPr>
          <w:spacing w:val="-4"/>
          <w:sz w:val="24"/>
        </w:rPr>
        <w:t xml:space="preserve"> </w:t>
      </w:r>
      <w:r>
        <w:rPr>
          <w:sz w:val="24"/>
        </w:rPr>
        <w:t>or</w:t>
      </w:r>
      <w:r>
        <w:rPr>
          <w:spacing w:val="-4"/>
          <w:sz w:val="24"/>
        </w:rPr>
        <w:t xml:space="preserve"> </w:t>
      </w:r>
      <w:r>
        <w:rPr>
          <w:sz w:val="24"/>
        </w:rPr>
        <w:t>employee”</w:t>
      </w:r>
      <w:r>
        <w:rPr>
          <w:spacing w:val="-4"/>
          <w:sz w:val="24"/>
        </w:rPr>
        <w:t xml:space="preserve"> </w:t>
      </w:r>
      <w:r>
        <w:rPr>
          <w:sz w:val="24"/>
        </w:rPr>
        <w:t>box</w:t>
      </w:r>
      <w:r>
        <w:rPr>
          <w:spacing w:val="-5"/>
          <w:sz w:val="24"/>
        </w:rPr>
        <w:t xml:space="preserve"> </w:t>
      </w:r>
      <w:r>
        <w:rPr>
          <w:sz w:val="24"/>
        </w:rPr>
        <w:t>and</w:t>
      </w:r>
      <w:r>
        <w:rPr>
          <w:spacing w:val="-2"/>
          <w:sz w:val="24"/>
        </w:rPr>
        <w:t xml:space="preserve"> </w:t>
      </w:r>
      <w:r>
        <w:rPr>
          <w:sz w:val="24"/>
        </w:rPr>
        <w:t>then</w:t>
      </w:r>
      <w:r>
        <w:rPr>
          <w:spacing w:val="-2"/>
          <w:sz w:val="24"/>
        </w:rPr>
        <w:t xml:space="preserve"> </w:t>
      </w:r>
      <w:r>
        <w:rPr>
          <w:sz w:val="24"/>
        </w:rPr>
        <w:t>check</w:t>
      </w:r>
      <w:r>
        <w:rPr>
          <w:spacing w:val="-3"/>
          <w:sz w:val="24"/>
        </w:rPr>
        <w:t xml:space="preserve"> </w:t>
      </w:r>
      <w:r>
        <w:rPr>
          <w:sz w:val="24"/>
        </w:rPr>
        <w:t>the</w:t>
      </w:r>
      <w:r>
        <w:rPr>
          <w:spacing w:val="-2"/>
          <w:sz w:val="24"/>
        </w:rPr>
        <w:t xml:space="preserve"> </w:t>
      </w:r>
      <w:r>
        <w:rPr>
          <w:sz w:val="24"/>
        </w:rPr>
        <w:t xml:space="preserve">“research” </w:t>
      </w:r>
      <w:r>
        <w:rPr>
          <w:spacing w:val="-4"/>
          <w:sz w:val="24"/>
        </w:rPr>
        <w:t>box.</w:t>
      </w:r>
    </w:p>
    <w:p w14:paraId="18202E60" w14:textId="77777777" w:rsidR="0080310D" w:rsidRDefault="0080310D">
      <w:pPr>
        <w:pStyle w:val="BodyText"/>
        <w:spacing w:before="3"/>
      </w:pPr>
    </w:p>
    <w:p w14:paraId="259FDEDC" w14:textId="77777777" w:rsidR="0080310D" w:rsidRDefault="004830AF">
      <w:pPr>
        <w:pStyle w:val="Heading2"/>
        <w:numPr>
          <w:ilvl w:val="1"/>
          <w:numId w:val="4"/>
        </w:numPr>
        <w:tabs>
          <w:tab w:val="left" w:pos="1079"/>
        </w:tabs>
        <w:ind w:left="1079" w:hanging="359"/>
      </w:pPr>
      <w:r>
        <w:lastRenderedPageBreak/>
        <w:t>Section</w:t>
      </w:r>
      <w:r>
        <w:rPr>
          <w:spacing w:val="-4"/>
        </w:rPr>
        <w:t xml:space="preserve"> </w:t>
      </w:r>
      <w:r>
        <w:t>III</w:t>
      </w:r>
      <w:r>
        <w:rPr>
          <w:spacing w:val="-3"/>
        </w:rPr>
        <w:t xml:space="preserve"> </w:t>
      </w:r>
      <w:r>
        <w:t>–</w:t>
      </w:r>
      <w:r>
        <w:rPr>
          <w:spacing w:val="-1"/>
        </w:rPr>
        <w:t xml:space="preserve"> </w:t>
      </w:r>
      <w:r>
        <w:t>Applicant</w:t>
      </w:r>
      <w:r>
        <w:rPr>
          <w:spacing w:val="-4"/>
        </w:rPr>
        <w:t xml:space="preserve"> </w:t>
      </w:r>
      <w:r>
        <w:rPr>
          <w:spacing w:val="-2"/>
        </w:rPr>
        <w:t>Information</w:t>
      </w:r>
    </w:p>
    <w:p w14:paraId="01356A6E" w14:textId="77777777" w:rsidR="0080310D" w:rsidRDefault="0080310D">
      <w:pPr>
        <w:pStyle w:val="BodyText"/>
        <w:rPr>
          <w:b/>
        </w:rPr>
      </w:pPr>
    </w:p>
    <w:p w14:paraId="79409C87" w14:textId="77777777" w:rsidR="0080310D" w:rsidRDefault="004830AF">
      <w:pPr>
        <w:pStyle w:val="ListParagraph"/>
        <w:numPr>
          <w:ilvl w:val="2"/>
          <w:numId w:val="4"/>
        </w:numPr>
        <w:tabs>
          <w:tab w:val="left" w:pos="1439"/>
        </w:tabs>
        <w:ind w:left="1439" w:hanging="359"/>
        <w:rPr>
          <w:sz w:val="24"/>
        </w:rPr>
      </w:pPr>
      <w:r>
        <w:rPr>
          <w:b/>
          <w:sz w:val="24"/>
        </w:rPr>
        <w:t>Name</w:t>
      </w:r>
      <w:r>
        <w:rPr>
          <w:b/>
          <w:spacing w:val="-5"/>
          <w:sz w:val="24"/>
        </w:rPr>
        <w:t xml:space="preserve"> </w:t>
      </w:r>
      <w:r>
        <w:rPr>
          <w:b/>
          <w:sz w:val="24"/>
        </w:rPr>
        <w:t>of</w:t>
      </w:r>
      <w:r>
        <w:rPr>
          <w:b/>
          <w:spacing w:val="-4"/>
          <w:sz w:val="24"/>
        </w:rPr>
        <w:t xml:space="preserve"> </w:t>
      </w:r>
      <w:r>
        <w:rPr>
          <w:b/>
          <w:sz w:val="24"/>
        </w:rPr>
        <w:t>Organization/Business</w:t>
      </w:r>
      <w:r>
        <w:rPr>
          <w:b/>
          <w:spacing w:val="-6"/>
          <w:sz w:val="24"/>
        </w:rPr>
        <w:t xml:space="preserve"> </w:t>
      </w:r>
      <w:r>
        <w:rPr>
          <w:sz w:val="24"/>
        </w:rPr>
        <w:t>is</w:t>
      </w:r>
      <w:r>
        <w:rPr>
          <w:spacing w:val="-3"/>
          <w:sz w:val="24"/>
        </w:rPr>
        <w:t xml:space="preserve"> </w:t>
      </w:r>
      <w:r>
        <w:rPr>
          <w:sz w:val="24"/>
        </w:rPr>
        <w:t>always</w:t>
      </w:r>
      <w:r>
        <w:rPr>
          <w:spacing w:val="-2"/>
          <w:sz w:val="24"/>
        </w:rPr>
        <w:t xml:space="preserve"> </w:t>
      </w:r>
      <w:r>
        <w:rPr>
          <w:sz w:val="24"/>
        </w:rPr>
        <w:t>University</w:t>
      </w:r>
      <w:r>
        <w:rPr>
          <w:spacing w:val="-5"/>
          <w:sz w:val="24"/>
        </w:rPr>
        <w:t xml:space="preserve"> </w:t>
      </w:r>
      <w:r>
        <w:rPr>
          <w:sz w:val="24"/>
        </w:rPr>
        <w:t>of</w:t>
      </w:r>
      <w:r>
        <w:rPr>
          <w:spacing w:val="-1"/>
          <w:sz w:val="24"/>
        </w:rPr>
        <w:t xml:space="preserve"> </w:t>
      </w:r>
      <w:r>
        <w:rPr>
          <w:sz w:val="24"/>
        </w:rPr>
        <w:t>Central</w:t>
      </w:r>
      <w:r>
        <w:rPr>
          <w:spacing w:val="-3"/>
          <w:sz w:val="24"/>
        </w:rPr>
        <w:t xml:space="preserve"> </w:t>
      </w:r>
      <w:r>
        <w:rPr>
          <w:spacing w:val="-2"/>
          <w:sz w:val="24"/>
        </w:rPr>
        <w:t>Florida.</w:t>
      </w:r>
    </w:p>
    <w:p w14:paraId="3EC1EB71" w14:textId="77777777" w:rsidR="0080310D" w:rsidRDefault="004830AF">
      <w:pPr>
        <w:pStyle w:val="ListParagraph"/>
        <w:numPr>
          <w:ilvl w:val="2"/>
          <w:numId w:val="4"/>
        </w:numPr>
        <w:tabs>
          <w:tab w:val="left" w:pos="1440"/>
        </w:tabs>
        <w:spacing w:before="271" w:line="235" w:lineRule="auto"/>
        <w:ind w:right="715"/>
        <w:jc w:val="both"/>
        <w:rPr>
          <w:sz w:val="24"/>
        </w:rPr>
      </w:pPr>
      <w:r>
        <w:rPr>
          <w:b/>
          <w:sz w:val="24"/>
        </w:rPr>
        <w:t xml:space="preserve">Mailing address </w:t>
      </w:r>
      <w:r>
        <w:rPr>
          <w:sz w:val="24"/>
        </w:rPr>
        <w:t xml:space="preserve">is the address of the applicant’s office location. Look up the building address </w:t>
      </w:r>
      <w:hyperlink r:id="rId38">
        <w:r>
          <w:rPr>
            <w:color w:val="0000FF"/>
            <w:sz w:val="24"/>
            <w:u w:val="single" w:color="0000FF"/>
          </w:rPr>
          <w:t>here</w:t>
        </w:r>
      </w:hyperlink>
      <w:r>
        <w:rPr>
          <w:sz w:val="24"/>
        </w:rPr>
        <w:t>. Please DO NOT enter 4000 Central Florida Boulevard, as it is incorrect.</w:t>
      </w:r>
    </w:p>
    <w:p w14:paraId="307231EE" w14:textId="77777777" w:rsidR="0080310D" w:rsidRDefault="0080310D">
      <w:pPr>
        <w:pStyle w:val="BodyText"/>
        <w:spacing w:before="8"/>
      </w:pPr>
    </w:p>
    <w:p w14:paraId="27F2562C" w14:textId="77777777" w:rsidR="0080310D" w:rsidRDefault="004830AF">
      <w:pPr>
        <w:pStyle w:val="ListParagraph"/>
        <w:numPr>
          <w:ilvl w:val="2"/>
          <w:numId w:val="4"/>
        </w:numPr>
        <w:tabs>
          <w:tab w:val="left" w:pos="1440"/>
        </w:tabs>
        <w:spacing w:line="235" w:lineRule="auto"/>
        <w:ind w:right="715"/>
        <w:jc w:val="both"/>
        <w:rPr>
          <w:sz w:val="24"/>
        </w:rPr>
      </w:pPr>
      <w:r>
        <w:rPr>
          <w:sz w:val="24"/>
        </w:rPr>
        <w:t xml:space="preserve">The </w:t>
      </w:r>
      <w:r>
        <w:rPr>
          <w:b/>
          <w:sz w:val="24"/>
        </w:rPr>
        <w:t xml:space="preserve">physical address </w:t>
      </w:r>
      <w:r>
        <w:rPr>
          <w:sz w:val="24"/>
        </w:rPr>
        <w:t xml:space="preserve">corresponds with the exact location where the drugs or gases will be received and stored; include building and room </w:t>
      </w:r>
      <w:r>
        <w:rPr>
          <w:spacing w:val="-2"/>
          <w:sz w:val="24"/>
        </w:rPr>
        <w:t>numbers.</w:t>
      </w:r>
    </w:p>
    <w:p w14:paraId="16E0A03E" w14:textId="77777777" w:rsidR="0080310D" w:rsidRDefault="0080310D">
      <w:pPr>
        <w:pStyle w:val="BodyText"/>
        <w:spacing w:before="3"/>
      </w:pPr>
    </w:p>
    <w:p w14:paraId="42701E39" w14:textId="77777777" w:rsidR="0080310D" w:rsidRDefault="004830AF">
      <w:pPr>
        <w:pStyle w:val="Heading2"/>
        <w:numPr>
          <w:ilvl w:val="1"/>
          <w:numId w:val="4"/>
        </w:numPr>
        <w:tabs>
          <w:tab w:val="left" w:pos="1079"/>
        </w:tabs>
        <w:ind w:left="1079" w:hanging="359"/>
      </w:pPr>
      <w:r>
        <w:t>Section</w:t>
      </w:r>
      <w:r>
        <w:rPr>
          <w:spacing w:val="-2"/>
        </w:rPr>
        <w:t xml:space="preserve"> </w:t>
      </w:r>
      <w:r>
        <w:t>IV</w:t>
      </w:r>
      <w:r>
        <w:rPr>
          <w:spacing w:val="-1"/>
        </w:rPr>
        <w:t xml:space="preserve"> </w:t>
      </w:r>
      <w:r>
        <w:t>–</w:t>
      </w:r>
      <w:r>
        <w:rPr>
          <w:spacing w:val="-3"/>
        </w:rPr>
        <w:t xml:space="preserve"> </w:t>
      </w:r>
      <w:r>
        <w:t>Qualified</w:t>
      </w:r>
      <w:r>
        <w:rPr>
          <w:spacing w:val="-2"/>
        </w:rPr>
        <w:t xml:space="preserve"> </w:t>
      </w:r>
      <w:r>
        <w:t>Person</w:t>
      </w:r>
      <w:r>
        <w:rPr>
          <w:spacing w:val="-4"/>
        </w:rPr>
        <w:t xml:space="preserve"> </w:t>
      </w:r>
      <w:r>
        <w:rPr>
          <w:spacing w:val="-2"/>
        </w:rPr>
        <w:t>Information</w:t>
      </w:r>
    </w:p>
    <w:p w14:paraId="62445748" w14:textId="77777777" w:rsidR="0080310D" w:rsidRDefault="0080310D">
      <w:pPr>
        <w:pStyle w:val="BodyText"/>
        <w:spacing w:before="4"/>
        <w:rPr>
          <w:b/>
        </w:rPr>
      </w:pPr>
    </w:p>
    <w:p w14:paraId="72D5588B" w14:textId="77777777" w:rsidR="0080310D" w:rsidRDefault="004830AF">
      <w:pPr>
        <w:pStyle w:val="ListParagraph"/>
        <w:numPr>
          <w:ilvl w:val="2"/>
          <w:numId w:val="4"/>
        </w:numPr>
        <w:tabs>
          <w:tab w:val="left" w:pos="1440"/>
        </w:tabs>
        <w:spacing w:line="235" w:lineRule="auto"/>
        <w:ind w:right="715"/>
        <w:jc w:val="both"/>
        <w:rPr>
          <w:sz w:val="24"/>
        </w:rPr>
      </w:pPr>
      <w:r>
        <w:rPr>
          <w:sz w:val="24"/>
        </w:rPr>
        <w:t>This section requires the full name and educational information of the qualified person. Fill in any related training, course work, and experience working with prescription drugs.</w:t>
      </w:r>
    </w:p>
    <w:p w14:paraId="7DB2C234" w14:textId="77777777" w:rsidR="0080310D" w:rsidRDefault="0080310D">
      <w:pPr>
        <w:pStyle w:val="BodyText"/>
        <w:spacing w:before="3"/>
      </w:pPr>
    </w:p>
    <w:p w14:paraId="4DD152E1" w14:textId="77777777" w:rsidR="0080310D" w:rsidRDefault="004830AF">
      <w:pPr>
        <w:pStyle w:val="Heading2"/>
        <w:numPr>
          <w:ilvl w:val="1"/>
          <w:numId w:val="4"/>
        </w:numPr>
        <w:tabs>
          <w:tab w:val="left" w:pos="1079"/>
        </w:tabs>
        <w:ind w:left="1079" w:hanging="359"/>
      </w:pPr>
      <w:r>
        <w:t>Section</w:t>
      </w:r>
      <w:r>
        <w:rPr>
          <w:spacing w:val="-4"/>
        </w:rPr>
        <w:t xml:space="preserve"> </w:t>
      </w:r>
      <w:r>
        <w:t>V</w:t>
      </w:r>
      <w:r>
        <w:rPr>
          <w:spacing w:val="-4"/>
        </w:rPr>
        <w:t xml:space="preserve"> </w:t>
      </w:r>
      <w:r>
        <w:t>–</w:t>
      </w:r>
      <w:r>
        <w:rPr>
          <w:spacing w:val="-2"/>
        </w:rPr>
        <w:t xml:space="preserve"> </w:t>
      </w:r>
      <w:r>
        <w:t>Purchasing</w:t>
      </w:r>
      <w:r>
        <w:rPr>
          <w:spacing w:val="-3"/>
        </w:rPr>
        <w:t xml:space="preserve"> </w:t>
      </w:r>
      <w:r>
        <w:rPr>
          <w:spacing w:val="-2"/>
        </w:rPr>
        <w:t>Information</w:t>
      </w:r>
    </w:p>
    <w:p w14:paraId="726563AB" w14:textId="77777777" w:rsidR="0080310D" w:rsidRDefault="0080310D">
      <w:pPr>
        <w:pStyle w:val="BodyText"/>
        <w:spacing w:before="7"/>
        <w:rPr>
          <w:b/>
        </w:rPr>
      </w:pPr>
    </w:p>
    <w:p w14:paraId="36AD8079" w14:textId="77777777" w:rsidR="0080310D" w:rsidRDefault="004830AF">
      <w:pPr>
        <w:pStyle w:val="ListParagraph"/>
        <w:numPr>
          <w:ilvl w:val="2"/>
          <w:numId w:val="4"/>
        </w:numPr>
        <w:tabs>
          <w:tab w:val="left" w:pos="1440"/>
        </w:tabs>
        <w:spacing w:line="232" w:lineRule="auto"/>
        <w:ind w:right="715"/>
        <w:jc w:val="both"/>
        <w:rPr>
          <w:sz w:val="24"/>
        </w:rPr>
      </w:pPr>
      <w:r>
        <w:rPr>
          <w:sz w:val="24"/>
        </w:rPr>
        <w:t>Enter the name under which all purchases will be made for prescription drugs and gases, and provide a DEA Registration number, if applicable.</w:t>
      </w:r>
    </w:p>
    <w:p w14:paraId="3926646B" w14:textId="77777777" w:rsidR="0080310D" w:rsidRDefault="0080310D">
      <w:pPr>
        <w:pStyle w:val="BodyText"/>
        <w:spacing w:before="7"/>
      </w:pPr>
    </w:p>
    <w:p w14:paraId="10E73B22" w14:textId="77777777" w:rsidR="0080310D" w:rsidRDefault="004830AF">
      <w:pPr>
        <w:pStyle w:val="ListParagraph"/>
        <w:numPr>
          <w:ilvl w:val="2"/>
          <w:numId w:val="4"/>
        </w:numPr>
        <w:tabs>
          <w:tab w:val="left" w:pos="1440"/>
        </w:tabs>
        <w:spacing w:line="232" w:lineRule="auto"/>
        <w:ind w:right="715"/>
        <w:jc w:val="both"/>
        <w:rPr>
          <w:sz w:val="24"/>
        </w:rPr>
      </w:pPr>
      <w:r>
        <w:rPr>
          <w:sz w:val="24"/>
        </w:rPr>
        <w:t>Enter the purpose of the use of the prescription drugs for research, teaching, or testing purposes.</w:t>
      </w:r>
    </w:p>
    <w:p w14:paraId="11D44E29" w14:textId="77777777" w:rsidR="0080310D" w:rsidRDefault="0080310D">
      <w:pPr>
        <w:pStyle w:val="BodyText"/>
        <w:spacing w:before="6"/>
      </w:pPr>
    </w:p>
    <w:p w14:paraId="18C74753" w14:textId="77777777" w:rsidR="0080310D" w:rsidRDefault="004830AF">
      <w:pPr>
        <w:pStyle w:val="ListParagraph"/>
        <w:numPr>
          <w:ilvl w:val="2"/>
          <w:numId w:val="4"/>
        </w:numPr>
        <w:tabs>
          <w:tab w:val="left" w:pos="1440"/>
        </w:tabs>
        <w:spacing w:line="235" w:lineRule="auto"/>
        <w:ind w:right="715"/>
        <w:jc w:val="both"/>
        <w:rPr>
          <w:sz w:val="24"/>
        </w:rPr>
      </w:pPr>
      <w:r>
        <w:rPr>
          <w:sz w:val="24"/>
        </w:rPr>
        <w:t>Enter each supplier and its Florida License Number for each prescription drug or gas that will be required. Also list all possible information for the prescription drugs’ names, quantities, and frequency of purchase.</w:t>
      </w:r>
    </w:p>
    <w:p w14:paraId="3007F91F" w14:textId="77777777" w:rsidR="0080310D" w:rsidRDefault="0080310D">
      <w:pPr>
        <w:pStyle w:val="BodyText"/>
        <w:spacing w:before="3"/>
      </w:pPr>
    </w:p>
    <w:p w14:paraId="3CECD60E" w14:textId="77777777" w:rsidR="0080310D" w:rsidRDefault="004830AF">
      <w:pPr>
        <w:pStyle w:val="Heading2"/>
        <w:numPr>
          <w:ilvl w:val="1"/>
          <w:numId w:val="4"/>
        </w:numPr>
        <w:tabs>
          <w:tab w:val="left" w:pos="1079"/>
        </w:tabs>
        <w:ind w:left="1079" w:hanging="359"/>
      </w:pPr>
      <w:r>
        <w:t>Section</w:t>
      </w:r>
      <w:r>
        <w:rPr>
          <w:spacing w:val="-4"/>
        </w:rPr>
        <w:t xml:space="preserve"> </w:t>
      </w:r>
      <w:r>
        <w:t>VI</w:t>
      </w:r>
      <w:r>
        <w:rPr>
          <w:spacing w:val="-3"/>
        </w:rPr>
        <w:t xml:space="preserve"> </w:t>
      </w:r>
      <w:r>
        <w:t>–</w:t>
      </w:r>
      <w:r>
        <w:rPr>
          <w:spacing w:val="-2"/>
        </w:rPr>
        <w:t xml:space="preserve"> </w:t>
      </w:r>
      <w:r>
        <w:t>Application</w:t>
      </w:r>
      <w:r>
        <w:rPr>
          <w:spacing w:val="-3"/>
        </w:rPr>
        <w:t xml:space="preserve"> </w:t>
      </w:r>
      <w:r>
        <w:rPr>
          <w:spacing w:val="-2"/>
        </w:rPr>
        <w:t>Contact</w:t>
      </w:r>
    </w:p>
    <w:p w14:paraId="64DCAEFA" w14:textId="77777777" w:rsidR="0080310D" w:rsidRDefault="0080310D">
      <w:pPr>
        <w:pStyle w:val="BodyText"/>
        <w:rPr>
          <w:b/>
        </w:rPr>
      </w:pPr>
    </w:p>
    <w:p w14:paraId="01318923" w14:textId="77777777" w:rsidR="0080310D" w:rsidRDefault="004830AF">
      <w:pPr>
        <w:pStyle w:val="ListParagraph"/>
        <w:numPr>
          <w:ilvl w:val="2"/>
          <w:numId w:val="4"/>
        </w:numPr>
        <w:tabs>
          <w:tab w:val="left" w:pos="1439"/>
        </w:tabs>
        <w:ind w:left="1439" w:hanging="359"/>
        <w:rPr>
          <w:sz w:val="24"/>
        </w:rPr>
      </w:pPr>
      <w:r>
        <w:rPr>
          <w:sz w:val="24"/>
        </w:rPr>
        <w:t>Provide</w:t>
      </w:r>
      <w:r>
        <w:rPr>
          <w:spacing w:val="-2"/>
          <w:sz w:val="24"/>
        </w:rPr>
        <w:t xml:space="preserve"> </w:t>
      </w:r>
      <w:r>
        <w:rPr>
          <w:sz w:val="24"/>
        </w:rPr>
        <w:t>the</w:t>
      </w:r>
      <w:r>
        <w:rPr>
          <w:spacing w:val="-3"/>
          <w:sz w:val="24"/>
        </w:rPr>
        <w:t xml:space="preserve"> </w:t>
      </w:r>
      <w:r>
        <w:rPr>
          <w:sz w:val="24"/>
        </w:rPr>
        <w:t>primary</w:t>
      </w:r>
      <w:r>
        <w:rPr>
          <w:spacing w:val="-5"/>
          <w:sz w:val="24"/>
        </w:rPr>
        <w:t xml:space="preserve"> </w:t>
      </w:r>
      <w:r>
        <w:rPr>
          <w:sz w:val="24"/>
        </w:rPr>
        <w:t>contact</w:t>
      </w:r>
      <w:r>
        <w:rPr>
          <w:spacing w:val="-4"/>
          <w:sz w:val="24"/>
        </w:rPr>
        <w:t xml:space="preserve"> </w:t>
      </w:r>
      <w:r>
        <w:rPr>
          <w:sz w:val="24"/>
        </w:rPr>
        <w:t>person’s</w:t>
      </w:r>
      <w:r>
        <w:rPr>
          <w:spacing w:val="-2"/>
          <w:sz w:val="24"/>
        </w:rPr>
        <w:t xml:space="preserve"> information.</w:t>
      </w:r>
    </w:p>
    <w:p w14:paraId="6466AECC" w14:textId="77777777" w:rsidR="0080310D" w:rsidRDefault="0080310D">
      <w:pPr>
        <w:pStyle w:val="ListParagraph"/>
        <w:rPr>
          <w:sz w:val="24"/>
        </w:rPr>
        <w:sectPr w:rsidR="0080310D">
          <w:pgSz w:w="12240" w:h="15840"/>
          <w:pgMar w:top="1360" w:right="1080" w:bottom="1300" w:left="1080" w:header="0" w:footer="1100" w:gutter="0"/>
          <w:cols w:space="720"/>
        </w:sectPr>
      </w:pPr>
    </w:p>
    <w:p w14:paraId="524CB2F5" w14:textId="77777777" w:rsidR="0080310D" w:rsidRDefault="004830AF">
      <w:pPr>
        <w:pStyle w:val="Heading2"/>
        <w:numPr>
          <w:ilvl w:val="1"/>
          <w:numId w:val="4"/>
        </w:numPr>
        <w:tabs>
          <w:tab w:val="left" w:pos="1079"/>
        </w:tabs>
        <w:spacing w:before="80"/>
        <w:ind w:left="1079" w:hanging="359"/>
        <w:jc w:val="left"/>
      </w:pPr>
      <w:r>
        <w:lastRenderedPageBreak/>
        <w:t>Section</w:t>
      </w:r>
      <w:r>
        <w:rPr>
          <w:spacing w:val="-2"/>
        </w:rPr>
        <w:t xml:space="preserve"> </w:t>
      </w:r>
      <w:r>
        <w:t xml:space="preserve">VII – </w:t>
      </w:r>
      <w:r>
        <w:rPr>
          <w:spacing w:val="-2"/>
        </w:rPr>
        <w:t>Affidavit</w:t>
      </w:r>
    </w:p>
    <w:p w14:paraId="637A470E" w14:textId="77777777" w:rsidR="0080310D" w:rsidRDefault="0080310D">
      <w:pPr>
        <w:pStyle w:val="BodyText"/>
        <w:rPr>
          <w:b/>
        </w:rPr>
      </w:pPr>
    </w:p>
    <w:p w14:paraId="6504CD0F" w14:textId="77777777" w:rsidR="0080310D" w:rsidRDefault="004830AF">
      <w:pPr>
        <w:pStyle w:val="ListParagraph"/>
        <w:numPr>
          <w:ilvl w:val="2"/>
          <w:numId w:val="4"/>
        </w:numPr>
        <w:tabs>
          <w:tab w:val="left" w:pos="1439"/>
        </w:tabs>
        <w:ind w:left="1439" w:hanging="359"/>
        <w:rPr>
          <w:sz w:val="24"/>
        </w:rPr>
      </w:pPr>
      <w:r>
        <w:rPr>
          <w:sz w:val="24"/>
        </w:rPr>
        <w:t>Read</w:t>
      </w:r>
      <w:r>
        <w:rPr>
          <w:spacing w:val="-2"/>
          <w:sz w:val="24"/>
        </w:rPr>
        <w:t xml:space="preserve"> </w:t>
      </w:r>
      <w:r>
        <w:rPr>
          <w:sz w:val="24"/>
        </w:rPr>
        <w:t>the</w:t>
      </w:r>
      <w:r>
        <w:rPr>
          <w:spacing w:val="-3"/>
          <w:sz w:val="24"/>
        </w:rPr>
        <w:t xml:space="preserve"> </w:t>
      </w:r>
      <w:r>
        <w:rPr>
          <w:sz w:val="24"/>
        </w:rPr>
        <w:t>affidavit;</w:t>
      </w:r>
      <w:r>
        <w:rPr>
          <w:spacing w:val="-1"/>
          <w:sz w:val="24"/>
        </w:rPr>
        <w:t xml:space="preserve"> </w:t>
      </w:r>
      <w:r>
        <w:rPr>
          <w:sz w:val="24"/>
        </w:rPr>
        <w:t>then</w:t>
      </w:r>
      <w:r>
        <w:rPr>
          <w:spacing w:val="-1"/>
          <w:sz w:val="24"/>
        </w:rPr>
        <w:t xml:space="preserve"> </w:t>
      </w:r>
      <w:r>
        <w:rPr>
          <w:sz w:val="24"/>
        </w:rPr>
        <w:t>sign,</w:t>
      </w:r>
      <w:r>
        <w:rPr>
          <w:spacing w:val="-1"/>
          <w:sz w:val="24"/>
        </w:rPr>
        <w:t xml:space="preserve"> </w:t>
      </w:r>
      <w:r>
        <w:rPr>
          <w:sz w:val="24"/>
        </w:rPr>
        <w:t>date,</w:t>
      </w:r>
      <w:r>
        <w:rPr>
          <w:spacing w:val="-4"/>
          <w:sz w:val="24"/>
        </w:rPr>
        <w:t xml:space="preserve"> </w:t>
      </w:r>
      <w:r>
        <w:rPr>
          <w:sz w:val="24"/>
        </w:rPr>
        <w:t>and</w:t>
      </w:r>
      <w:r>
        <w:rPr>
          <w:spacing w:val="-3"/>
          <w:sz w:val="24"/>
        </w:rPr>
        <w:t xml:space="preserve"> </w:t>
      </w:r>
      <w:r>
        <w:rPr>
          <w:sz w:val="24"/>
        </w:rPr>
        <w:t>print</w:t>
      </w:r>
      <w:r>
        <w:rPr>
          <w:spacing w:val="-3"/>
          <w:sz w:val="24"/>
        </w:rPr>
        <w:t xml:space="preserve"> </w:t>
      </w:r>
      <w:r>
        <w:rPr>
          <w:spacing w:val="-2"/>
          <w:sz w:val="24"/>
        </w:rPr>
        <w:t>name.</w:t>
      </w:r>
    </w:p>
    <w:p w14:paraId="043BA4A6" w14:textId="77777777" w:rsidR="0080310D" w:rsidRDefault="004830AF">
      <w:pPr>
        <w:pStyle w:val="Heading2"/>
        <w:numPr>
          <w:ilvl w:val="0"/>
          <w:numId w:val="6"/>
        </w:numPr>
        <w:tabs>
          <w:tab w:val="left" w:pos="1439"/>
        </w:tabs>
        <w:spacing w:before="267"/>
        <w:ind w:left="1439" w:hanging="359"/>
      </w:pPr>
      <w:bookmarkStart w:id="7" w:name="7._APPLYING_FOR_DEA_REGISTRATION_(New_Ap"/>
      <w:bookmarkEnd w:id="7"/>
      <w:r>
        <w:t>APPLYING</w:t>
      </w:r>
      <w:r>
        <w:rPr>
          <w:spacing w:val="-6"/>
        </w:rPr>
        <w:t xml:space="preserve"> </w:t>
      </w:r>
      <w:r>
        <w:t>FOR</w:t>
      </w:r>
      <w:r>
        <w:rPr>
          <w:spacing w:val="-4"/>
        </w:rPr>
        <w:t xml:space="preserve"> </w:t>
      </w:r>
      <w:r>
        <w:t>DEA</w:t>
      </w:r>
      <w:r>
        <w:rPr>
          <w:spacing w:val="-7"/>
        </w:rPr>
        <w:t xml:space="preserve"> </w:t>
      </w:r>
      <w:r>
        <w:t>REGISTRATION</w:t>
      </w:r>
      <w:r>
        <w:rPr>
          <w:spacing w:val="-5"/>
        </w:rPr>
        <w:t xml:space="preserve"> </w:t>
      </w:r>
      <w:r>
        <w:t>(New</w:t>
      </w:r>
      <w:r>
        <w:rPr>
          <w:spacing w:val="1"/>
        </w:rPr>
        <w:t xml:space="preserve"> </w:t>
      </w:r>
      <w:r>
        <w:t>Applicants</w:t>
      </w:r>
      <w:r>
        <w:rPr>
          <w:spacing w:val="-3"/>
        </w:rPr>
        <w:t xml:space="preserve"> </w:t>
      </w:r>
      <w:r>
        <w:rPr>
          <w:spacing w:val="-2"/>
        </w:rPr>
        <w:t>Only)</w:t>
      </w:r>
    </w:p>
    <w:p w14:paraId="7F2832DE" w14:textId="77777777" w:rsidR="0080310D" w:rsidRDefault="0080310D">
      <w:pPr>
        <w:pStyle w:val="BodyText"/>
        <w:rPr>
          <w:b/>
        </w:rPr>
      </w:pPr>
    </w:p>
    <w:p w14:paraId="44346230" w14:textId="77777777" w:rsidR="0080310D" w:rsidRDefault="004830AF">
      <w:pPr>
        <w:pStyle w:val="BodyText"/>
        <w:ind w:left="720" w:right="712"/>
        <w:jc w:val="both"/>
      </w:pPr>
      <w:r>
        <w:t xml:space="preserve">PIs must determine if the drugs they intend to use in the course of lawful research, teaching, or testing are categorized as controlled substances. A list of current controlled substances, in alphabetical order, can be found </w:t>
      </w:r>
      <w:hyperlink r:id="rId39">
        <w:r>
          <w:rPr>
            <w:color w:val="0000FF"/>
            <w:u w:val="single" w:color="0000FF"/>
          </w:rPr>
          <w:t>here</w:t>
        </w:r>
      </w:hyperlink>
      <w:r>
        <w:t>. If the drugs are deemed to be controlled substances, the PI must apply for a DEA Registration, which may take four to twelve weeks for Schedule III-V to process, or up to 12 months</w:t>
      </w:r>
      <w:r>
        <w:rPr>
          <w:spacing w:val="-2"/>
        </w:rPr>
        <w:t xml:space="preserve"> </w:t>
      </w:r>
      <w:r>
        <w:t>for Schedule I-II, provided that the application is</w:t>
      </w:r>
      <w:r>
        <w:rPr>
          <w:spacing w:val="-2"/>
        </w:rPr>
        <w:t xml:space="preserve"> </w:t>
      </w:r>
      <w:r>
        <w:t>accurate</w:t>
      </w:r>
      <w:r>
        <w:rPr>
          <w:spacing w:val="-1"/>
        </w:rPr>
        <w:t xml:space="preserve"> </w:t>
      </w:r>
      <w:r>
        <w:t xml:space="preserve">and </w:t>
      </w:r>
      <w:r>
        <w:rPr>
          <w:spacing w:val="-2"/>
        </w:rPr>
        <w:t>complete.</w:t>
      </w:r>
    </w:p>
    <w:p w14:paraId="28A7A8E0" w14:textId="77777777" w:rsidR="0080310D" w:rsidRDefault="0080310D">
      <w:pPr>
        <w:pStyle w:val="BodyText"/>
      </w:pPr>
    </w:p>
    <w:p w14:paraId="43066042" w14:textId="77777777" w:rsidR="0080310D" w:rsidRDefault="004830AF">
      <w:pPr>
        <w:pStyle w:val="Heading2"/>
        <w:ind w:left="719"/>
      </w:pPr>
      <w:r>
        <w:t>Application</w:t>
      </w:r>
      <w:r>
        <w:rPr>
          <w:spacing w:val="-7"/>
        </w:rPr>
        <w:t xml:space="preserve"> </w:t>
      </w:r>
      <w:r>
        <w:rPr>
          <w:spacing w:val="-2"/>
        </w:rPr>
        <w:t>Forms</w:t>
      </w:r>
    </w:p>
    <w:p w14:paraId="66A7975F" w14:textId="77777777" w:rsidR="0080310D" w:rsidRDefault="0080310D">
      <w:pPr>
        <w:pStyle w:val="BodyText"/>
        <w:rPr>
          <w:b/>
        </w:rPr>
      </w:pPr>
    </w:p>
    <w:p w14:paraId="4666F7B8" w14:textId="097BCA3A" w:rsidR="0080310D" w:rsidRDefault="004830AF">
      <w:pPr>
        <w:pStyle w:val="BodyText"/>
        <w:ind w:left="720" w:right="713"/>
        <w:jc w:val="both"/>
      </w:pPr>
      <w:r>
        <w:t>In most cases, PIs will be required to submit DEA Form 225. It may take one to twelve months depending on the drug Schedule(s) to receive the registration certificate from the DEA, so researchers need to plan accordingly. There is no</w:t>
      </w:r>
      <w:r>
        <w:rPr>
          <w:spacing w:val="40"/>
        </w:rPr>
        <w:t xml:space="preserve"> </w:t>
      </w:r>
      <w:r>
        <w:t xml:space="preserve">fee for researchers working at state institutions. The </w:t>
      </w:r>
      <w:r w:rsidR="00031C47">
        <w:t>Biological Safety Officer</w:t>
      </w:r>
      <w:r>
        <w:t xml:space="preserve"> waives the exemption from the application fee.</w:t>
      </w:r>
    </w:p>
    <w:p w14:paraId="773A305F" w14:textId="77777777" w:rsidR="0080310D" w:rsidRDefault="0080310D">
      <w:pPr>
        <w:pStyle w:val="BodyText"/>
      </w:pPr>
    </w:p>
    <w:p w14:paraId="0E5EA73F" w14:textId="267C54C5" w:rsidR="0080310D" w:rsidRDefault="004830AF">
      <w:pPr>
        <w:pStyle w:val="BodyText"/>
        <w:ind w:left="720" w:right="713"/>
        <w:jc w:val="both"/>
      </w:pPr>
      <w:r>
        <w:t>DEA Form 224 is used for hospitals, clinics, qualified practitioners, and clinical/medical teaching institutions where controlled substances would potentially</w:t>
      </w:r>
      <w:r>
        <w:rPr>
          <w:spacing w:val="-2"/>
        </w:rPr>
        <w:t xml:space="preserve"> </w:t>
      </w:r>
      <w:r>
        <w:t>be</w:t>
      </w:r>
      <w:r>
        <w:rPr>
          <w:spacing w:val="-1"/>
        </w:rPr>
        <w:t xml:space="preserve"> </w:t>
      </w:r>
      <w:r>
        <w:t>prescribed</w:t>
      </w:r>
      <w:r>
        <w:rPr>
          <w:spacing w:val="-1"/>
        </w:rPr>
        <w:t xml:space="preserve"> </w:t>
      </w:r>
      <w:r>
        <w:t>or distributed</w:t>
      </w:r>
      <w:r>
        <w:rPr>
          <w:spacing w:val="-1"/>
        </w:rPr>
        <w:t xml:space="preserve"> </w:t>
      </w:r>
      <w:r>
        <w:t>to</w:t>
      </w:r>
      <w:r>
        <w:rPr>
          <w:spacing w:val="-1"/>
        </w:rPr>
        <w:t xml:space="preserve"> </w:t>
      </w:r>
      <w:r>
        <w:t>patients.</w:t>
      </w:r>
      <w:r>
        <w:rPr>
          <w:spacing w:val="-4"/>
        </w:rPr>
        <w:t xml:space="preserve"> </w:t>
      </w:r>
      <w:r>
        <w:t>This</w:t>
      </w:r>
      <w:r>
        <w:rPr>
          <w:spacing w:val="-2"/>
        </w:rPr>
        <w:t xml:space="preserve"> </w:t>
      </w:r>
      <w:r>
        <w:t>business</w:t>
      </w:r>
      <w:r>
        <w:rPr>
          <w:spacing w:val="-2"/>
        </w:rPr>
        <w:t xml:space="preserve"> </w:t>
      </w:r>
      <w:r>
        <w:t>activity</w:t>
      </w:r>
      <w:r>
        <w:rPr>
          <w:spacing w:val="-2"/>
        </w:rPr>
        <w:t xml:space="preserve"> </w:t>
      </w:r>
      <w:r>
        <w:t>is not</w:t>
      </w:r>
      <w:r>
        <w:rPr>
          <w:spacing w:val="-1"/>
        </w:rPr>
        <w:t xml:space="preserve"> </w:t>
      </w:r>
      <w:r>
        <w:t xml:space="preserve">for individuals, but where medical education takes place under the authority of a state-accredited college or university. The applicant should check with the </w:t>
      </w:r>
      <w:r w:rsidR="00696032">
        <w:t>Biological Safety Officer</w:t>
      </w:r>
      <w:r>
        <w:t xml:space="preserve"> to determine which form should be used, or for additional </w:t>
      </w:r>
      <w:r>
        <w:rPr>
          <w:spacing w:val="-2"/>
        </w:rPr>
        <w:t>assistance.</w:t>
      </w:r>
    </w:p>
    <w:p w14:paraId="6042E3BE" w14:textId="77777777" w:rsidR="0080310D" w:rsidRDefault="0080310D">
      <w:pPr>
        <w:pStyle w:val="BodyText"/>
      </w:pPr>
    </w:p>
    <w:p w14:paraId="0127D149" w14:textId="77777777" w:rsidR="0080310D" w:rsidRDefault="004830AF">
      <w:pPr>
        <w:pStyle w:val="BodyText"/>
        <w:spacing w:before="1"/>
        <w:ind w:left="720" w:right="716"/>
        <w:jc w:val="both"/>
      </w:pPr>
      <w:r>
        <w:t xml:space="preserve">The online application forms can be found at the </w:t>
      </w:r>
      <w:hyperlink r:id="rId40">
        <w:r>
          <w:rPr>
            <w:color w:val="0000FF"/>
            <w:u w:val="single" w:color="0000FF"/>
          </w:rPr>
          <w:t>DEA Diversion website</w:t>
        </w:r>
      </w:hyperlink>
      <w:r>
        <w:t xml:space="preserve">. Instructions to complete the application may be found </w:t>
      </w:r>
      <w:hyperlink r:id="rId41">
        <w:r>
          <w:rPr>
            <w:color w:val="0000FF"/>
            <w:u w:val="single" w:color="0000FF"/>
          </w:rPr>
          <w:t>here</w:t>
        </w:r>
      </w:hyperlink>
      <w:r>
        <w:t>. DEA encourages to use the online forms system to apply for a registration</w:t>
      </w:r>
    </w:p>
    <w:p w14:paraId="6F948827" w14:textId="77777777" w:rsidR="0080310D" w:rsidRDefault="0080310D">
      <w:pPr>
        <w:pStyle w:val="BodyText"/>
      </w:pPr>
    </w:p>
    <w:p w14:paraId="30382792" w14:textId="77777777" w:rsidR="0080310D" w:rsidRDefault="004830AF">
      <w:pPr>
        <w:pStyle w:val="BodyText"/>
        <w:ind w:left="720" w:right="714"/>
        <w:jc w:val="both"/>
      </w:pPr>
      <w:r>
        <w:t>Researcher</w:t>
      </w:r>
      <w:r>
        <w:rPr>
          <w:spacing w:val="-1"/>
        </w:rPr>
        <w:t xml:space="preserve"> </w:t>
      </w:r>
      <w:r>
        <w:t>must attach 3 copies</w:t>
      </w:r>
      <w:r>
        <w:rPr>
          <w:spacing w:val="-1"/>
        </w:rPr>
        <w:t xml:space="preserve"> </w:t>
      </w:r>
      <w:r>
        <w:t xml:space="preserve">of research </w:t>
      </w:r>
      <w:hyperlink r:id="rId42">
        <w:r>
          <w:rPr>
            <w:color w:val="0000FF"/>
            <w:u w:val="single" w:color="0000FF"/>
          </w:rPr>
          <w:t>protocol</w:t>
        </w:r>
      </w:hyperlink>
      <w:r>
        <w:t>, including curriculum vitae, to conduct research with schedule 1 controlled substances.</w:t>
      </w:r>
    </w:p>
    <w:p w14:paraId="7552E487" w14:textId="77777777" w:rsidR="0080310D" w:rsidRDefault="0080310D">
      <w:pPr>
        <w:pStyle w:val="BodyText"/>
      </w:pPr>
    </w:p>
    <w:p w14:paraId="0815FCBE" w14:textId="77777777" w:rsidR="0080310D" w:rsidRDefault="004830AF">
      <w:pPr>
        <w:pStyle w:val="Heading1"/>
        <w:numPr>
          <w:ilvl w:val="0"/>
          <w:numId w:val="6"/>
        </w:numPr>
        <w:tabs>
          <w:tab w:val="left" w:pos="1440"/>
        </w:tabs>
        <w:ind w:right="1929"/>
      </w:pPr>
      <w:bookmarkStart w:id="8" w:name="8._RE-APPLYING_FOR_A_STATE_OF_FLORIDA_PR"/>
      <w:bookmarkEnd w:id="8"/>
      <w:r>
        <w:t>RE-APPLYING</w:t>
      </w:r>
      <w:r>
        <w:rPr>
          <w:spacing w:val="-5"/>
        </w:rPr>
        <w:t xml:space="preserve"> </w:t>
      </w:r>
      <w:r>
        <w:t>FOR</w:t>
      </w:r>
      <w:r>
        <w:rPr>
          <w:spacing w:val="-4"/>
        </w:rPr>
        <w:t xml:space="preserve"> </w:t>
      </w:r>
      <w:r>
        <w:t>A</w:t>
      </w:r>
      <w:r>
        <w:rPr>
          <w:spacing w:val="-9"/>
        </w:rPr>
        <w:t xml:space="preserve"> </w:t>
      </w:r>
      <w:r>
        <w:t>STATE</w:t>
      </w:r>
      <w:r>
        <w:rPr>
          <w:spacing w:val="-5"/>
        </w:rPr>
        <w:t xml:space="preserve"> </w:t>
      </w:r>
      <w:r>
        <w:t>OF</w:t>
      </w:r>
      <w:r>
        <w:rPr>
          <w:spacing w:val="-6"/>
        </w:rPr>
        <w:t xml:space="preserve"> </w:t>
      </w:r>
      <w:r>
        <w:t>FLORIDA</w:t>
      </w:r>
      <w:r>
        <w:rPr>
          <w:spacing w:val="-9"/>
        </w:rPr>
        <w:t xml:space="preserve"> </w:t>
      </w:r>
      <w:r>
        <w:t>PRESCRIPTION EXEMPTION AND DEA LICENSE</w:t>
      </w:r>
    </w:p>
    <w:p w14:paraId="4E8DB580" w14:textId="77777777" w:rsidR="0080310D" w:rsidRDefault="0080310D">
      <w:pPr>
        <w:pStyle w:val="BodyText"/>
        <w:rPr>
          <w:b/>
        </w:rPr>
      </w:pPr>
    </w:p>
    <w:p w14:paraId="2D78DD59" w14:textId="77777777" w:rsidR="0080310D" w:rsidRDefault="004830AF">
      <w:pPr>
        <w:pStyle w:val="BodyText"/>
        <w:ind w:left="720" w:right="714"/>
        <w:jc w:val="both"/>
      </w:pPr>
      <w:r>
        <w:t>If either the DBPR Exemption or the DEA Registration expires while possessing prescription drugs, analytical standards, medical gases and or controlled substances, the PI will be categorized as in non-compliance with state and federal regulations, and will be required to start the process from the beginning. PIs cannot use, buy, or dispose of any DEA drugs without a valid registration. Lacking</w:t>
      </w:r>
      <w:r>
        <w:rPr>
          <w:spacing w:val="16"/>
        </w:rPr>
        <w:t xml:space="preserve"> </w:t>
      </w:r>
      <w:r>
        <w:t>a</w:t>
      </w:r>
      <w:r>
        <w:rPr>
          <w:spacing w:val="21"/>
        </w:rPr>
        <w:t xml:space="preserve"> </w:t>
      </w:r>
      <w:r>
        <w:t>valid</w:t>
      </w:r>
      <w:r>
        <w:rPr>
          <w:spacing w:val="21"/>
        </w:rPr>
        <w:t xml:space="preserve"> </w:t>
      </w:r>
      <w:r>
        <w:t>registration</w:t>
      </w:r>
      <w:r>
        <w:rPr>
          <w:spacing w:val="21"/>
        </w:rPr>
        <w:t xml:space="preserve"> </w:t>
      </w:r>
      <w:r>
        <w:t>while</w:t>
      </w:r>
      <w:r>
        <w:rPr>
          <w:spacing w:val="21"/>
        </w:rPr>
        <w:t xml:space="preserve"> </w:t>
      </w:r>
      <w:r>
        <w:t>the</w:t>
      </w:r>
      <w:r>
        <w:rPr>
          <w:spacing w:val="21"/>
        </w:rPr>
        <w:t xml:space="preserve"> </w:t>
      </w:r>
      <w:r>
        <w:t>lab</w:t>
      </w:r>
      <w:r>
        <w:rPr>
          <w:spacing w:val="21"/>
        </w:rPr>
        <w:t xml:space="preserve"> </w:t>
      </w:r>
      <w:r>
        <w:t>is</w:t>
      </w:r>
      <w:r>
        <w:rPr>
          <w:spacing w:val="20"/>
        </w:rPr>
        <w:t xml:space="preserve"> </w:t>
      </w:r>
      <w:r>
        <w:t>still</w:t>
      </w:r>
      <w:r>
        <w:rPr>
          <w:spacing w:val="19"/>
        </w:rPr>
        <w:t xml:space="preserve"> </w:t>
      </w:r>
      <w:r>
        <w:t>in</w:t>
      </w:r>
      <w:r>
        <w:rPr>
          <w:spacing w:val="21"/>
        </w:rPr>
        <w:t xml:space="preserve"> </w:t>
      </w:r>
      <w:r>
        <w:t>possession</w:t>
      </w:r>
      <w:r>
        <w:rPr>
          <w:spacing w:val="18"/>
        </w:rPr>
        <w:t xml:space="preserve"> </w:t>
      </w:r>
      <w:r>
        <w:t>of</w:t>
      </w:r>
      <w:r>
        <w:rPr>
          <w:spacing w:val="20"/>
        </w:rPr>
        <w:t xml:space="preserve"> </w:t>
      </w:r>
      <w:r>
        <w:t>DEA</w:t>
      </w:r>
      <w:r>
        <w:rPr>
          <w:spacing w:val="21"/>
        </w:rPr>
        <w:t xml:space="preserve"> </w:t>
      </w:r>
      <w:r>
        <w:rPr>
          <w:spacing w:val="-2"/>
        </w:rPr>
        <w:t>controlled</w:t>
      </w:r>
    </w:p>
    <w:p w14:paraId="10D05DC0" w14:textId="77777777" w:rsidR="0080310D" w:rsidRDefault="0080310D">
      <w:pPr>
        <w:pStyle w:val="BodyText"/>
        <w:jc w:val="both"/>
        <w:sectPr w:rsidR="0080310D">
          <w:pgSz w:w="12240" w:h="15840"/>
          <w:pgMar w:top="1360" w:right="1080" w:bottom="1300" w:left="1080" w:header="0" w:footer="1100" w:gutter="0"/>
          <w:cols w:space="720"/>
        </w:sectPr>
      </w:pPr>
    </w:p>
    <w:p w14:paraId="24A94DFE" w14:textId="77777777" w:rsidR="0080310D" w:rsidRDefault="004830AF">
      <w:pPr>
        <w:pStyle w:val="BodyText"/>
        <w:spacing w:before="80"/>
        <w:ind w:left="720" w:right="716"/>
        <w:jc w:val="both"/>
      </w:pPr>
      <w:r>
        <w:lastRenderedPageBreak/>
        <w:t>substances may become a felony violation by DEA regulations; penalties could be severe and include prison time and/or criminal fines.</w:t>
      </w:r>
    </w:p>
    <w:p w14:paraId="0E21C871" w14:textId="77777777" w:rsidR="0080310D" w:rsidRDefault="0080310D">
      <w:pPr>
        <w:pStyle w:val="BodyText"/>
      </w:pPr>
    </w:p>
    <w:p w14:paraId="41134F3F" w14:textId="77777777" w:rsidR="0080310D" w:rsidRDefault="004830AF">
      <w:pPr>
        <w:pStyle w:val="BodyText"/>
        <w:ind w:left="720" w:right="716"/>
        <w:jc w:val="both"/>
      </w:pPr>
      <w:r>
        <w:t xml:space="preserve">The U.S. DEA registration is valid for one year and must be renewed annually by completing </w:t>
      </w:r>
      <w:hyperlink r:id="rId43">
        <w:r>
          <w:rPr>
            <w:color w:val="0000FF"/>
            <w:u w:val="single" w:color="0000FF"/>
          </w:rPr>
          <w:t>DEA Form 225a</w:t>
        </w:r>
      </w:hyperlink>
      <w:r>
        <w:t>. The DEA will send one reminder, usually 60 days in advance via mail.</w:t>
      </w:r>
    </w:p>
    <w:p w14:paraId="1CD40692" w14:textId="77777777" w:rsidR="0080310D" w:rsidRDefault="0080310D">
      <w:pPr>
        <w:pStyle w:val="BodyText"/>
      </w:pPr>
    </w:p>
    <w:p w14:paraId="0D0CCAFC" w14:textId="77777777" w:rsidR="0080310D" w:rsidRDefault="004830AF">
      <w:pPr>
        <w:pStyle w:val="BodyText"/>
        <w:ind w:left="720" w:right="713"/>
        <w:jc w:val="both"/>
      </w:pPr>
      <w:r>
        <w:t>If the DEA registration expires and is renewed at a later date, any controlled substances purchased under the expired registration will not be covered by the new</w:t>
      </w:r>
      <w:r>
        <w:rPr>
          <w:spacing w:val="-5"/>
        </w:rPr>
        <w:t xml:space="preserve"> </w:t>
      </w:r>
      <w:r>
        <w:t>registration.</w:t>
      </w:r>
      <w:r>
        <w:rPr>
          <w:spacing w:val="-1"/>
        </w:rPr>
        <w:t xml:space="preserve"> </w:t>
      </w:r>
      <w:r>
        <w:t>Products</w:t>
      </w:r>
      <w:r>
        <w:rPr>
          <w:spacing w:val="-5"/>
        </w:rPr>
        <w:t xml:space="preserve"> </w:t>
      </w:r>
      <w:r>
        <w:t>from</w:t>
      </w:r>
      <w:r>
        <w:rPr>
          <w:spacing w:val="-3"/>
        </w:rPr>
        <w:t xml:space="preserve"> </w:t>
      </w:r>
      <w:r>
        <w:t>an</w:t>
      </w:r>
      <w:r>
        <w:rPr>
          <w:spacing w:val="-1"/>
        </w:rPr>
        <w:t xml:space="preserve"> </w:t>
      </w:r>
      <w:r>
        <w:t>expired</w:t>
      </w:r>
      <w:r>
        <w:rPr>
          <w:spacing w:val="-1"/>
        </w:rPr>
        <w:t xml:space="preserve"> </w:t>
      </w:r>
      <w:r>
        <w:t>registration</w:t>
      </w:r>
      <w:r>
        <w:rPr>
          <w:spacing w:val="-1"/>
        </w:rPr>
        <w:t xml:space="preserve"> </w:t>
      </w:r>
      <w:r>
        <w:t>are</w:t>
      </w:r>
      <w:r>
        <w:rPr>
          <w:spacing w:val="-1"/>
        </w:rPr>
        <w:t xml:space="preserve"> </w:t>
      </w:r>
      <w:r>
        <w:t>held</w:t>
      </w:r>
      <w:r>
        <w:rPr>
          <w:spacing w:val="-1"/>
        </w:rPr>
        <w:t xml:space="preserve"> </w:t>
      </w:r>
      <w:r>
        <w:t>by</w:t>
      </w:r>
      <w:r>
        <w:rPr>
          <w:spacing w:val="-4"/>
        </w:rPr>
        <w:t xml:space="preserve"> </w:t>
      </w:r>
      <w:r>
        <w:t>the</w:t>
      </w:r>
      <w:r>
        <w:rPr>
          <w:spacing w:val="-1"/>
        </w:rPr>
        <w:t xml:space="preserve"> </w:t>
      </w:r>
      <w:r>
        <w:t>PI</w:t>
      </w:r>
      <w:r>
        <w:rPr>
          <w:spacing w:val="-1"/>
        </w:rPr>
        <w:t xml:space="preserve"> </w:t>
      </w:r>
      <w:r>
        <w:t>illegally, but must be secured by the PI until special permission is obtained from the DEA for their disposition.</w:t>
      </w:r>
    </w:p>
    <w:p w14:paraId="3ED3E503" w14:textId="77777777" w:rsidR="0080310D" w:rsidRDefault="0080310D">
      <w:pPr>
        <w:pStyle w:val="BodyText"/>
      </w:pPr>
    </w:p>
    <w:p w14:paraId="62057828" w14:textId="3E9E8EAF" w:rsidR="0080310D" w:rsidRDefault="004830AF">
      <w:pPr>
        <w:pStyle w:val="BodyText"/>
        <w:ind w:left="720" w:right="713"/>
        <w:jc w:val="both"/>
      </w:pPr>
      <w:r>
        <w:t>The</w:t>
      </w:r>
      <w:r>
        <w:rPr>
          <w:spacing w:val="-2"/>
        </w:rPr>
        <w:t xml:space="preserve"> </w:t>
      </w:r>
      <w:r>
        <w:t>State</w:t>
      </w:r>
      <w:r>
        <w:rPr>
          <w:spacing w:val="-2"/>
        </w:rPr>
        <w:t xml:space="preserve"> </w:t>
      </w:r>
      <w:r>
        <w:t>of</w:t>
      </w:r>
      <w:r>
        <w:rPr>
          <w:spacing w:val="-2"/>
        </w:rPr>
        <w:t xml:space="preserve"> </w:t>
      </w:r>
      <w:r>
        <w:t>Florida</w:t>
      </w:r>
      <w:r>
        <w:rPr>
          <w:spacing w:val="-2"/>
        </w:rPr>
        <w:t xml:space="preserve"> </w:t>
      </w:r>
      <w:r>
        <w:t>Letter</w:t>
      </w:r>
      <w:r>
        <w:rPr>
          <w:spacing w:val="-4"/>
        </w:rPr>
        <w:t xml:space="preserve"> </w:t>
      </w:r>
      <w:r>
        <w:t>of Exemption</w:t>
      </w:r>
      <w:r>
        <w:rPr>
          <w:spacing w:val="-2"/>
        </w:rPr>
        <w:t xml:space="preserve"> </w:t>
      </w:r>
      <w:r>
        <w:t>is</w:t>
      </w:r>
      <w:r>
        <w:rPr>
          <w:spacing w:val="-3"/>
        </w:rPr>
        <w:t xml:space="preserve"> </w:t>
      </w:r>
      <w:r>
        <w:t>valid</w:t>
      </w:r>
      <w:r>
        <w:rPr>
          <w:spacing w:val="-2"/>
        </w:rPr>
        <w:t xml:space="preserve"> </w:t>
      </w:r>
      <w:r>
        <w:t>for</w:t>
      </w:r>
      <w:r>
        <w:rPr>
          <w:spacing w:val="-4"/>
        </w:rPr>
        <w:t xml:space="preserve"> </w:t>
      </w:r>
      <w:r>
        <w:t>two</w:t>
      </w:r>
      <w:r>
        <w:rPr>
          <w:spacing w:val="-2"/>
        </w:rPr>
        <w:t xml:space="preserve"> </w:t>
      </w:r>
      <w:r>
        <w:t>years.</w:t>
      </w:r>
      <w:r>
        <w:rPr>
          <w:spacing w:val="-2"/>
        </w:rPr>
        <w:t xml:space="preserve"> </w:t>
      </w:r>
      <w:r>
        <w:t>The</w:t>
      </w:r>
      <w:r>
        <w:rPr>
          <w:spacing w:val="-2"/>
        </w:rPr>
        <w:t xml:space="preserve"> </w:t>
      </w:r>
      <w:r>
        <w:t>Department</w:t>
      </w:r>
      <w:r>
        <w:rPr>
          <w:spacing w:val="-2"/>
        </w:rPr>
        <w:t xml:space="preserve"> </w:t>
      </w:r>
      <w:r>
        <w:t>of Business and Professional Regulation (DBPR) requires a new</w:t>
      </w:r>
      <w:r>
        <w:rPr>
          <w:spacing w:val="-2"/>
        </w:rPr>
        <w:t xml:space="preserve"> </w:t>
      </w:r>
      <w:r>
        <w:t>application</w:t>
      </w:r>
      <w:r>
        <w:rPr>
          <w:spacing w:val="-1"/>
        </w:rPr>
        <w:t xml:space="preserve"> </w:t>
      </w:r>
      <w:r>
        <w:t xml:space="preserve">form to be submitted 30-60 days prior to the exemption’s expiration. The DBPR sends a reminder via mail about 60 days from expiration date. PIs should mark their calendars accordingly so they do not fall out of compliance. Exemption applications must be submitted through DBPR’s online services. A copy of the renewed exemption letter must be sent to the </w:t>
      </w:r>
      <w:r w:rsidR="00696032">
        <w:t>Biological Safety Officer</w:t>
      </w:r>
      <w:r>
        <w:t>, Purchasing Department, and to any approved vendors.</w:t>
      </w:r>
    </w:p>
    <w:p w14:paraId="06DF8F18" w14:textId="77777777" w:rsidR="0080310D" w:rsidRDefault="0080310D">
      <w:pPr>
        <w:pStyle w:val="BodyText"/>
        <w:spacing w:before="1"/>
      </w:pPr>
    </w:p>
    <w:p w14:paraId="49814929" w14:textId="77777777" w:rsidR="0080310D" w:rsidRDefault="004830AF">
      <w:pPr>
        <w:pStyle w:val="Heading1"/>
        <w:numPr>
          <w:ilvl w:val="0"/>
          <w:numId w:val="6"/>
        </w:numPr>
        <w:tabs>
          <w:tab w:val="left" w:pos="1439"/>
        </w:tabs>
        <w:ind w:left="1439" w:hanging="359"/>
      </w:pPr>
      <w:bookmarkStart w:id="9" w:name="9._PURCHASING"/>
      <w:bookmarkEnd w:id="9"/>
      <w:r>
        <w:rPr>
          <w:spacing w:val="-2"/>
        </w:rPr>
        <w:t>PURCHASING</w:t>
      </w:r>
    </w:p>
    <w:p w14:paraId="7FE081A2" w14:textId="77777777" w:rsidR="0080310D" w:rsidRDefault="0080310D">
      <w:pPr>
        <w:pStyle w:val="BodyText"/>
        <w:rPr>
          <w:b/>
        </w:rPr>
      </w:pPr>
    </w:p>
    <w:p w14:paraId="62DA1897" w14:textId="46B1F993" w:rsidR="0080310D" w:rsidRDefault="004830AF">
      <w:pPr>
        <w:pStyle w:val="BodyText"/>
        <w:ind w:left="719" w:right="712"/>
        <w:jc w:val="both"/>
      </w:pPr>
      <w:r>
        <w:t xml:space="preserve">PIs (registrants) must follow </w:t>
      </w:r>
      <w:hyperlink r:id="rId44">
        <w:r>
          <w:rPr>
            <w:color w:val="0000FF"/>
            <w:u w:val="single" w:color="0000FF"/>
          </w:rPr>
          <w:t>UCF Policy 3-107.2</w:t>
        </w:r>
      </w:hyperlink>
      <w:r>
        <w:rPr>
          <w:color w:val="0000FF"/>
        </w:rPr>
        <w:t xml:space="preserve"> </w:t>
      </w:r>
      <w:r>
        <w:t xml:space="preserve">Procurement, Use, and Possession of Hazardous Materials and Regulated Devices and Equipment, for the lawful use of prescription or legend drugs and controlled substances. The PI must purchase drug products through the PI’s approved vendors and ensure that the purchased products are received, inventoried, and stored properly. Any purchases and deliveries of controlled substances must be tracked by the registrant. Lost shipments must be reported to the DEA, the </w:t>
      </w:r>
      <w:r w:rsidR="00696032">
        <w:t>Biological Safety Officer</w:t>
      </w:r>
      <w:r>
        <w:t xml:space="preserve">, and the UCF Police Department (407-823-5555) as soon as </w:t>
      </w:r>
      <w:r>
        <w:rPr>
          <w:spacing w:val="-2"/>
        </w:rPr>
        <w:t>possible.</w:t>
      </w:r>
    </w:p>
    <w:p w14:paraId="63EE32B1" w14:textId="77777777" w:rsidR="0080310D" w:rsidRDefault="0080310D">
      <w:pPr>
        <w:pStyle w:val="BodyText"/>
      </w:pPr>
    </w:p>
    <w:p w14:paraId="441BA856" w14:textId="77777777" w:rsidR="0080310D" w:rsidRDefault="004830AF">
      <w:pPr>
        <w:pStyle w:val="BodyText"/>
        <w:ind w:left="719" w:right="714"/>
        <w:jc w:val="both"/>
      </w:pPr>
      <w:r>
        <w:t xml:space="preserve">The PI must maintain records to include vendor name, invoices, shipping documents, and packing slips, on all exempted or registered products. The PI must update his or her </w:t>
      </w:r>
      <w:hyperlink r:id="rId45">
        <w:r>
          <w:rPr>
            <w:color w:val="0000FF"/>
            <w:u w:val="single" w:color="0000FF"/>
          </w:rPr>
          <w:t>EHS_SOP350_FORM003</w:t>
        </w:r>
      </w:hyperlink>
      <w:r>
        <w:rPr>
          <w:color w:val="0000FF"/>
        </w:rPr>
        <w:t xml:space="preserve"> </w:t>
      </w:r>
      <w:r>
        <w:t>Controlled Substance Receipt Form upon receipt of any controlled substances in the UCF Controlled Substances Manual. All records must be available for periodic inspection by</w:t>
      </w:r>
      <w:r>
        <w:rPr>
          <w:spacing w:val="40"/>
        </w:rPr>
        <w:t xml:space="preserve"> </w:t>
      </w:r>
      <w:r>
        <w:t>EHS, DEA and DBPR.</w:t>
      </w:r>
    </w:p>
    <w:p w14:paraId="7415C4A1" w14:textId="77777777" w:rsidR="0080310D" w:rsidRDefault="0080310D">
      <w:pPr>
        <w:pStyle w:val="BodyText"/>
      </w:pPr>
    </w:p>
    <w:p w14:paraId="02254915" w14:textId="77777777" w:rsidR="0080310D" w:rsidRDefault="004830AF">
      <w:pPr>
        <w:pStyle w:val="BodyText"/>
        <w:ind w:left="720" w:right="714"/>
        <w:jc w:val="both"/>
      </w:pPr>
      <w:r>
        <w:t>The PI must ensure that all controlled substances requests have been approved by EHS before they are submitted to Purchasing, using a departmental purchase order form. Your departmental Purchaser should use category code 51210000 (Miscellaneous Drug Categories), for requisitions and purchase orders for controlled</w:t>
      </w:r>
      <w:r>
        <w:rPr>
          <w:spacing w:val="24"/>
        </w:rPr>
        <w:t xml:space="preserve"> </w:t>
      </w:r>
      <w:r>
        <w:t>substances.</w:t>
      </w:r>
      <w:r>
        <w:rPr>
          <w:spacing w:val="24"/>
        </w:rPr>
        <w:t xml:space="preserve"> </w:t>
      </w:r>
      <w:r>
        <w:t>Purchasing</w:t>
      </w:r>
      <w:r>
        <w:rPr>
          <w:spacing w:val="24"/>
        </w:rPr>
        <w:t xml:space="preserve"> </w:t>
      </w:r>
      <w:r>
        <w:t>will</w:t>
      </w:r>
      <w:r>
        <w:rPr>
          <w:spacing w:val="25"/>
        </w:rPr>
        <w:t xml:space="preserve"> </w:t>
      </w:r>
      <w:r>
        <w:t>not</w:t>
      </w:r>
      <w:r>
        <w:rPr>
          <w:spacing w:val="25"/>
        </w:rPr>
        <w:t xml:space="preserve"> </w:t>
      </w:r>
      <w:r>
        <w:t>process</w:t>
      </w:r>
      <w:r>
        <w:rPr>
          <w:spacing w:val="23"/>
        </w:rPr>
        <w:t xml:space="preserve"> </w:t>
      </w:r>
      <w:r>
        <w:t>purchase</w:t>
      </w:r>
      <w:r>
        <w:rPr>
          <w:spacing w:val="24"/>
        </w:rPr>
        <w:t xml:space="preserve"> </w:t>
      </w:r>
      <w:r>
        <w:t>orders</w:t>
      </w:r>
      <w:r>
        <w:rPr>
          <w:spacing w:val="26"/>
        </w:rPr>
        <w:t xml:space="preserve"> </w:t>
      </w:r>
      <w:r>
        <w:t>without</w:t>
      </w:r>
      <w:r>
        <w:rPr>
          <w:spacing w:val="24"/>
        </w:rPr>
        <w:t xml:space="preserve"> </w:t>
      </w:r>
      <w:r>
        <w:rPr>
          <w:spacing w:val="-5"/>
        </w:rPr>
        <w:t>the</w:t>
      </w:r>
    </w:p>
    <w:p w14:paraId="6B715004" w14:textId="77777777" w:rsidR="0080310D" w:rsidRDefault="0080310D">
      <w:pPr>
        <w:pStyle w:val="BodyText"/>
        <w:jc w:val="both"/>
        <w:sectPr w:rsidR="0080310D">
          <w:pgSz w:w="12240" w:h="15840"/>
          <w:pgMar w:top="1360" w:right="1080" w:bottom="1300" w:left="1080" w:header="0" w:footer="1100" w:gutter="0"/>
          <w:cols w:space="720"/>
        </w:sectPr>
      </w:pPr>
    </w:p>
    <w:p w14:paraId="75179BCB" w14:textId="77777777" w:rsidR="0080310D" w:rsidRDefault="004830AF">
      <w:pPr>
        <w:pStyle w:val="BodyText"/>
        <w:spacing w:before="80"/>
        <w:ind w:left="720" w:right="716"/>
        <w:jc w:val="both"/>
      </w:pPr>
      <w:r>
        <w:lastRenderedPageBreak/>
        <w:t xml:space="preserve">departmental purchase order approval by EHS. The </w:t>
      </w:r>
      <w:hyperlink r:id="rId46">
        <w:r>
          <w:rPr>
            <w:color w:val="0000FF"/>
            <w:u w:val="single" w:color="0000FF"/>
          </w:rPr>
          <w:t>EHS_SOP350_INST002</w:t>
        </w:r>
      </w:hyperlink>
      <w:r>
        <w:rPr>
          <w:color w:val="0000FF"/>
        </w:rPr>
        <w:t xml:space="preserve"> </w:t>
      </w:r>
      <w:r>
        <w:t>Purchasing Controlled Substances Instruction must be followed.</w:t>
      </w:r>
    </w:p>
    <w:p w14:paraId="25C0B2B5" w14:textId="77777777" w:rsidR="0080310D" w:rsidRDefault="0080310D">
      <w:pPr>
        <w:pStyle w:val="BodyText"/>
      </w:pPr>
    </w:p>
    <w:p w14:paraId="6C949C3F" w14:textId="77777777" w:rsidR="0080310D" w:rsidRDefault="004830AF">
      <w:pPr>
        <w:pStyle w:val="Heading1"/>
        <w:numPr>
          <w:ilvl w:val="0"/>
          <w:numId w:val="6"/>
        </w:numPr>
        <w:tabs>
          <w:tab w:val="left" w:pos="1439"/>
        </w:tabs>
        <w:ind w:left="1439" w:hanging="359"/>
      </w:pPr>
      <w:bookmarkStart w:id="10" w:name="10._DEA_FORM_222"/>
      <w:bookmarkEnd w:id="10"/>
      <w:r>
        <w:t>DEA</w:t>
      </w:r>
      <w:r>
        <w:rPr>
          <w:spacing w:val="-5"/>
        </w:rPr>
        <w:t xml:space="preserve"> </w:t>
      </w:r>
      <w:r>
        <w:t>FORM</w:t>
      </w:r>
      <w:r>
        <w:rPr>
          <w:spacing w:val="-1"/>
        </w:rPr>
        <w:t xml:space="preserve"> </w:t>
      </w:r>
      <w:r>
        <w:rPr>
          <w:spacing w:val="-5"/>
        </w:rPr>
        <w:t>222</w:t>
      </w:r>
    </w:p>
    <w:p w14:paraId="1C3B1C91" w14:textId="77777777" w:rsidR="0080310D" w:rsidRDefault="0080310D">
      <w:pPr>
        <w:pStyle w:val="BodyText"/>
        <w:rPr>
          <w:b/>
        </w:rPr>
      </w:pPr>
    </w:p>
    <w:p w14:paraId="22C3ADEF" w14:textId="77777777" w:rsidR="0080310D" w:rsidRDefault="004830AF">
      <w:pPr>
        <w:pStyle w:val="Heading2"/>
      </w:pPr>
      <w:r>
        <w:t>Purchases</w:t>
      </w:r>
      <w:r>
        <w:rPr>
          <w:spacing w:val="-4"/>
        </w:rPr>
        <w:t xml:space="preserve"> </w:t>
      </w:r>
      <w:r>
        <w:t>of</w:t>
      </w:r>
      <w:r>
        <w:rPr>
          <w:spacing w:val="-4"/>
        </w:rPr>
        <w:t xml:space="preserve"> </w:t>
      </w:r>
      <w:r>
        <w:t>Schedule</w:t>
      </w:r>
      <w:r>
        <w:rPr>
          <w:spacing w:val="-1"/>
        </w:rPr>
        <w:t xml:space="preserve"> </w:t>
      </w:r>
      <w:r>
        <w:t>I</w:t>
      </w:r>
      <w:r>
        <w:rPr>
          <w:spacing w:val="-5"/>
        </w:rPr>
        <w:t xml:space="preserve"> </w:t>
      </w:r>
      <w:r>
        <w:t>and</w:t>
      </w:r>
      <w:r>
        <w:rPr>
          <w:spacing w:val="-2"/>
        </w:rPr>
        <w:t xml:space="preserve"> </w:t>
      </w:r>
      <w:r>
        <w:t>II</w:t>
      </w:r>
      <w:r>
        <w:rPr>
          <w:spacing w:val="-2"/>
        </w:rPr>
        <w:t xml:space="preserve"> </w:t>
      </w:r>
      <w:r>
        <w:t>Controlled</w:t>
      </w:r>
      <w:r>
        <w:rPr>
          <w:spacing w:val="-7"/>
        </w:rPr>
        <w:t xml:space="preserve"> </w:t>
      </w:r>
      <w:r>
        <w:rPr>
          <w:spacing w:val="-2"/>
        </w:rPr>
        <w:t>Substances</w:t>
      </w:r>
    </w:p>
    <w:p w14:paraId="47F479B3" w14:textId="77777777" w:rsidR="0080310D" w:rsidRDefault="0080310D">
      <w:pPr>
        <w:pStyle w:val="BodyText"/>
        <w:rPr>
          <w:b/>
        </w:rPr>
      </w:pPr>
    </w:p>
    <w:p w14:paraId="08ED93A2" w14:textId="77777777" w:rsidR="0080310D" w:rsidRDefault="004830AF">
      <w:pPr>
        <w:pStyle w:val="BodyText"/>
        <w:ind w:left="720" w:right="712"/>
        <w:jc w:val="both"/>
      </w:pPr>
      <w:r>
        <w:t>The registrant may only order Schedule I and II controlled substances as authorized by his or her current DEA Registration. DEA Form 222 must be submitted with any Schedule I and II orders.</w:t>
      </w:r>
      <w:r>
        <w:rPr>
          <w:spacing w:val="80"/>
        </w:rPr>
        <w:t xml:space="preserve"> </w:t>
      </w:r>
      <w:r>
        <w:t xml:space="preserve">If any errors occur while filling out the form, the form must be voided and retained with the registrant’s controlled substance records. DEA Form 222 may be ordered using the online </w:t>
      </w:r>
      <w:hyperlink r:id="rId47">
        <w:r>
          <w:rPr>
            <w:color w:val="0000FF"/>
            <w:u w:val="single" w:color="0000FF"/>
          </w:rPr>
          <w:t>DEA Order</w:t>
        </w:r>
      </w:hyperlink>
      <w:r>
        <w:rPr>
          <w:color w:val="0000FF"/>
        </w:rPr>
        <w:t xml:space="preserve"> </w:t>
      </w:r>
      <w:hyperlink r:id="rId48">
        <w:r>
          <w:rPr>
            <w:color w:val="0000FF"/>
            <w:u w:val="single" w:color="0000FF"/>
          </w:rPr>
          <w:t>Form Request</w:t>
        </w:r>
      </w:hyperlink>
      <w:r>
        <w:t>. DEA Forms 222 must be stored securely in a safe box to prevent loss or theft.</w:t>
      </w:r>
    </w:p>
    <w:p w14:paraId="1D456BE5" w14:textId="77777777" w:rsidR="0080310D" w:rsidRDefault="0080310D">
      <w:pPr>
        <w:pStyle w:val="BodyText"/>
      </w:pPr>
    </w:p>
    <w:p w14:paraId="0B48F2F5" w14:textId="77777777" w:rsidR="0080310D" w:rsidRDefault="004830AF">
      <w:pPr>
        <w:pStyle w:val="Heading2"/>
        <w:spacing w:before="1"/>
        <w:ind w:left="719"/>
      </w:pPr>
      <w:r>
        <w:t>Lost</w:t>
      </w:r>
      <w:r>
        <w:rPr>
          <w:spacing w:val="-2"/>
        </w:rPr>
        <w:t xml:space="preserve"> </w:t>
      </w:r>
      <w:r>
        <w:t>and</w:t>
      </w:r>
      <w:r>
        <w:rPr>
          <w:spacing w:val="-2"/>
        </w:rPr>
        <w:t xml:space="preserve"> </w:t>
      </w:r>
      <w:r>
        <w:t>Stolen</w:t>
      </w:r>
      <w:r>
        <w:rPr>
          <w:spacing w:val="-1"/>
        </w:rPr>
        <w:t xml:space="preserve"> </w:t>
      </w:r>
      <w:r>
        <w:t>DEA</w:t>
      </w:r>
      <w:r>
        <w:rPr>
          <w:spacing w:val="-5"/>
        </w:rPr>
        <w:t xml:space="preserve"> </w:t>
      </w:r>
      <w:r>
        <w:t xml:space="preserve">Forms </w:t>
      </w:r>
      <w:r>
        <w:rPr>
          <w:spacing w:val="-5"/>
        </w:rPr>
        <w:t>222</w:t>
      </w:r>
    </w:p>
    <w:p w14:paraId="089D4E6A" w14:textId="77777777" w:rsidR="0080310D" w:rsidRDefault="004830AF">
      <w:pPr>
        <w:pStyle w:val="BodyText"/>
        <w:spacing w:before="276"/>
        <w:ind w:left="720" w:right="713"/>
        <w:jc w:val="both"/>
      </w:pPr>
      <w:r>
        <w:t>If a registrant ascertains that an unfilled DEA Form 222 has been lost, the registrant must</w:t>
      </w:r>
      <w:r>
        <w:rPr>
          <w:spacing w:val="-2"/>
        </w:rPr>
        <w:t xml:space="preserve"> </w:t>
      </w:r>
      <w:r>
        <w:t>execute another</w:t>
      </w:r>
      <w:r>
        <w:rPr>
          <w:spacing w:val="-1"/>
        </w:rPr>
        <w:t xml:space="preserve"> </w:t>
      </w:r>
      <w:r>
        <w:t>and</w:t>
      </w:r>
      <w:r>
        <w:rPr>
          <w:spacing w:val="-2"/>
        </w:rPr>
        <w:t xml:space="preserve"> </w:t>
      </w:r>
      <w:r>
        <w:t>attach</w:t>
      </w:r>
      <w:r>
        <w:rPr>
          <w:spacing w:val="-2"/>
        </w:rPr>
        <w:t xml:space="preserve"> </w:t>
      </w:r>
      <w:r>
        <w:t>a</w:t>
      </w:r>
      <w:r>
        <w:rPr>
          <w:spacing w:val="-2"/>
        </w:rPr>
        <w:t xml:space="preserve"> </w:t>
      </w:r>
      <w:r>
        <w:t>statement</w:t>
      </w:r>
      <w:r>
        <w:rPr>
          <w:spacing w:val="-2"/>
        </w:rPr>
        <w:t xml:space="preserve"> </w:t>
      </w:r>
      <w:r>
        <w:t>containing</w:t>
      </w:r>
      <w:r>
        <w:rPr>
          <w:spacing w:val="-2"/>
        </w:rPr>
        <w:t xml:space="preserve"> </w:t>
      </w:r>
      <w:r>
        <w:t>the</w:t>
      </w:r>
      <w:r>
        <w:rPr>
          <w:spacing w:val="-2"/>
        </w:rPr>
        <w:t xml:space="preserve"> </w:t>
      </w:r>
      <w:r>
        <w:t>order</w:t>
      </w:r>
      <w:r>
        <w:rPr>
          <w:spacing w:val="-4"/>
        </w:rPr>
        <w:t xml:space="preserve"> </w:t>
      </w:r>
      <w:r>
        <w:t>form number and date of the lost form, and stating that the goods covered by the DEA Form 222 were not received through loss of that DEA Form 222. A copy of the form and a copy of the statement must be retained with a copy of the DEA Form 222 first executed. A copy of the statement must be attached to the DEA Form 222 sent to the supplier. If the original DEA Form 222 is subsequently received</w:t>
      </w:r>
      <w:r>
        <w:rPr>
          <w:spacing w:val="40"/>
        </w:rPr>
        <w:t xml:space="preserve"> </w:t>
      </w:r>
      <w:r>
        <w:t>by the supplier to whom it was directed, the supplier must mark upon the face "Not accepted" and return the original DEA Form 222 to the registrant, who must attach it to the statement.</w:t>
      </w:r>
    </w:p>
    <w:p w14:paraId="15D5EED5" w14:textId="77777777" w:rsidR="0080310D" w:rsidRDefault="0080310D">
      <w:pPr>
        <w:pStyle w:val="BodyText"/>
      </w:pPr>
    </w:p>
    <w:p w14:paraId="4B382F4E" w14:textId="77777777" w:rsidR="0080310D" w:rsidRDefault="004830AF">
      <w:pPr>
        <w:pStyle w:val="BodyText"/>
        <w:ind w:left="719" w:right="715"/>
        <w:jc w:val="both"/>
      </w:pPr>
      <w:r>
        <w:t>If any DEA Form 222 are lost or stolen, and the registrant is unable to state the order form numbers of the DEA Form 222, the registrant must report, in lieu of numbers of the forms, the date or approximate date of issuance to the DEA.</w:t>
      </w:r>
    </w:p>
    <w:p w14:paraId="457B9994" w14:textId="77777777" w:rsidR="0080310D" w:rsidRDefault="0080310D">
      <w:pPr>
        <w:pStyle w:val="BodyText"/>
      </w:pPr>
    </w:p>
    <w:p w14:paraId="31BF9F3A" w14:textId="77777777" w:rsidR="0080310D" w:rsidRDefault="004830AF">
      <w:pPr>
        <w:pStyle w:val="Heading2"/>
      </w:pPr>
      <w:r>
        <w:t>Recordkeeping</w:t>
      </w:r>
      <w:r>
        <w:rPr>
          <w:spacing w:val="-4"/>
        </w:rPr>
        <w:t xml:space="preserve"> </w:t>
      </w:r>
      <w:r>
        <w:t>of</w:t>
      </w:r>
      <w:r>
        <w:rPr>
          <w:spacing w:val="-4"/>
        </w:rPr>
        <w:t xml:space="preserve"> </w:t>
      </w:r>
      <w:r>
        <w:t>DEA</w:t>
      </w:r>
      <w:r>
        <w:rPr>
          <w:spacing w:val="-6"/>
        </w:rPr>
        <w:t xml:space="preserve"> </w:t>
      </w:r>
      <w:r>
        <w:t>Form</w:t>
      </w:r>
      <w:r>
        <w:rPr>
          <w:spacing w:val="-3"/>
        </w:rPr>
        <w:t xml:space="preserve"> </w:t>
      </w:r>
      <w:r>
        <w:rPr>
          <w:spacing w:val="-5"/>
        </w:rPr>
        <w:t>222</w:t>
      </w:r>
    </w:p>
    <w:p w14:paraId="1F4C5375" w14:textId="77777777" w:rsidR="0080310D" w:rsidRDefault="0080310D">
      <w:pPr>
        <w:pStyle w:val="BodyText"/>
        <w:rPr>
          <w:b/>
        </w:rPr>
      </w:pPr>
    </w:p>
    <w:p w14:paraId="4E2A6BBF" w14:textId="77777777" w:rsidR="0080310D" w:rsidRDefault="004830AF">
      <w:pPr>
        <w:pStyle w:val="BodyText"/>
        <w:ind w:left="720" w:right="714"/>
        <w:jc w:val="both"/>
      </w:pPr>
      <w:r>
        <w:t>The registrant must retain a copy</w:t>
      </w:r>
      <w:r>
        <w:rPr>
          <w:spacing w:val="-2"/>
        </w:rPr>
        <w:t xml:space="preserve"> </w:t>
      </w:r>
      <w:r>
        <w:t>of each</w:t>
      </w:r>
      <w:r>
        <w:rPr>
          <w:spacing w:val="-1"/>
        </w:rPr>
        <w:t xml:space="preserve"> </w:t>
      </w:r>
      <w:r>
        <w:t>executed DEA Form 222 and all copies of unaccepted or defective forms with each statement attached.</w:t>
      </w:r>
    </w:p>
    <w:p w14:paraId="4C7459B9" w14:textId="77777777" w:rsidR="0080310D" w:rsidRDefault="0080310D">
      <w:pPr>
        <w:pStyle w:val="BodyText"/>
      </w:pPr>
    </w:p>
    <w:p w14:paraId="26A2F828" w14:textId="77777777" w:rsidR="0080310D" w:rsidRDefault="004830AF">
      <w:pPr>
        <w:pStyle w:val="BodyText"/>
        <w:ind w:left="720"/>
        <w:jc w:val="both"/>
      </w:pPr>
      <w:r>
        <w:t>The</w:t>
      </w:r>
      <w:r>
        <w:rPr>
          <w:spacing w:val="-4"/>
        </w:rPr>
        <w:t xml:space="preserve"> </w:t>
      </w:r>
      <w:r>
        <w:t>supplier</w:t>
      </w:r>
      <w:r>
        <w:rPr>
          <w:spacing w:val="-5"/>
        </w:rPr>
        <w:t xml:space="preserve"> </w:t>
      </w:r>
      <w:r>
        <w:t>must</w:t>
      </w:r>
      <w:r>
        <w:rPr>
          <w:spacing w:val="-1"/>
        </w:rPr>
        <w:t xml:space="preserve"> </w:t>
      </w:r>
      <w:r>
        <w:t>retain</w:t>
      </w:r>
      <w:r>
        <w:rPr>
          <w:spacing w:val="-1"/>
        </w:rPr>
        <w:t xml:space="preserve"> </w:t>
      </w:r>
      <w:r>
        <w:t>the</w:t>
      </w:r>
      <w:r>
        <w:rPr>
          <w:spacing w:val="-1"/>
        </w:rPr>
        <w:t xml:space="preserve"> </w:t>
      </w:r>
      <w:r>
        <w:t>original</w:t>
      </w:r>
      <w:r>
        <w:rPr>
          <w:spacing w:val="-2"/>
        </w:rPr>
        <w:t xml:space="preserve"> </w:t>
      </w:r>
      <w:r>
        <w:t>of</w:t>
      </w:r>
      <w:r>
        <w:rPr>
          <w:spacing w:val="-2"/>
        </w:rPr>
        <w:t xml:space="preserve"> </w:t>
      </w:r>
      <w:r>
        <w:t>each</w:t>
      </w:r>
      <w:r>
        <w:rPr>
          <w:spacing w:val="-3"/>
        </w:rPr>
        <w:t xml:space="preserve"> </w:t>
      </w:r>
      <w:r>
        <w:t>DEA</w:t>
      </w:r>
      <w:r>
        <w:rPr>
          <w:spacing w:val="-1"/>
        </w:rPr>
        <w:t xml:space="preserve"> </w:t>
      </w:r>
      <w:r>
        <w:t>Form</w:t>
      </w:r>
      <w:r>
        <w:rPr>
          <w:spacing w:val="-3"/>
        </w:rPr>
        <w:t xml:space="preserve"> </w:t>
      </w:r>
      <w:r>
        <w:t>222</w:t>
      </w:r>
      <w:r>
        <w:rPr>
          <w:spacing w:val="-1"/>
        </w:rPr>
        <w:t xml:space="preserve"> </w:t>
      </w:r>
      <w:r>
        <w:t>that</w:t>
      </w:r>
      <w:r>
        <w:rPr>
          <w:spacing w:val="-1"/>
        </w:rPr>
        <w:t xml:space="preserve"> </w:t>
      </w:r>
      <w:r>
        <w:t>it</w:t>
      </w:r>
      <w:r>
        <w:rPr>
          <w:spacing w:val="-4"/>
        </w:rPr>
        <w:t xml:space="preserve"> </w:t>
      </w:r>
      <w:r>
        <w:t>has</w:t>
      </w:r>
      <w:r>
        <w:rPr>
          <w:spacing w:val="-4"/>
        </w:rPr>
        <w:t xml:space="preserve"> </w:t>
      </w:r>
      <w:r>
        <w:rPr>
          <w:spacing w:val="-2"/>
        </w:rPr>
        <w:t>filled.</w:t>
      </w:r>
    </w:p>
    <w:p w14:paraId="5516EA3A" w14:textId="77777777" w:rsidR="0080310D" w:rsidRDefault="0080310D">
      <w:pPr>
        <w:pStyle w:val="BodyText"/>
      </w:pPr>
    </w:p>
    <w:p w14:paraId="6B2488C9" w14:textId="77777777" w:rsidR="0080310D" w:rsidRDefault="004830AF">
      <w:pPr>
        <w:pStyle w:val="BodyText"/>
        <w:ind w:left="720" w:right="715"/>
        <w:jc w:val="both"/>
      </w:pPr>
      <w:r>
        <w:t>DEA Form 222 must be maintained separately from all other records of the registrant. DEA Form 222 are required to be kept available for inspection for a period of two years.</w:t>
      </w:r>
    </w:p>
    <w:p w14:paraId="73A07F6D" w14:textId="77777777" w:rsidR="0080310D" w:rsidRDefault="0080310D">
      <w:pPr>
        <w:pStyle w:val="BodyText"/>
      </w:pPr>
    </w:p>
    <w:p w14:paraId="6F4574E7" w14:textId="77777777" w:rsidR="0080310D" w:rsidRDefault="004830AF">
      <w:pPr>
        <w:pStyle w:val="BodyText"/>
        <w:ind w:left="719" w:right="714"/>
        <w:jc w:val="both"/>
      </w:pPr>
      <w:r>
        <w:t>More information on purchasing of controlled substances, the use of DEA Form 222, and obtaining approval of controlled substances purchases can be found in the</w:t>
      </w:r>
      <w:r>
        <w:rPr>
          <w:spacing w:val="-4"/>
        </w:rPr>
        <w:t xml:space="preserve"> </w:t>
      </w:r>
      <w:r>
        <w:t>Purchasing</w:t>
      </w:r>
      <w:r>
        <w:rPr>
          <w:spacing w:val="-6"/>
        </w:rPr>
        <w:t xml:space="preserve"> </w:t>
      </w:r>
      <w:r>
        <w:t>Controlled</w:t>
      </w:r>
      <w:r>
        <w:rPr>
          <w:spacing w:val="-4"/>
        </w:rPr>
        <w:t xml:space="preserve"> </w:t>
      </w:r>
      <w:r>
        <w:t>Substances</w:t>
      </w:r>
      <w:r>
        <w:rPr>
          <w:spacing w:val="-8"/>
        </w:rPr>
        <w:t xml:space="preserve"> </w:t>
      </w:r>
      <w:r>
        <w:t>Instruction</w:t>
      </w:r>
      <w:r>
        <w:rPr>
          <w:spacing w:val="-4"/>
        </w:rPr>
        <w:t xml:space="preserve"> </w:t>
      </w:r>
      <w:r>
        <w:t>Form</w:t>
      </w:r>
      <w:r>
        <w:rPr>
          <w:spacing w:val="-3"/>
        </w:rPr>
        <w:t xml:space="preserve"> </w:t>
      </w:r>
      <w:hyperlink r:id="rId49">
        <w:r>
          <w:rPr>
            <w:color w:val="0000FF"/>
            <w:u w:val="single" w:color="0000FF"/>
          </w:rPr>
          <w:t>EHS_SOP350_INST002</w:t>
        </w:r>
      </w:hyperlink>
      <w:r>
        <w:t>.</w:t>
      </w:r>
    </w:p>
    <w:p w14:paraId="56A2A8F1" w14:textId="77777777" w:rsidR="0080310D" w:rsidRDefault="0080310D">
      <w:pPr>
        <w:pStyle w:val="BodyText"/>
        <w:jc w:val="both"/>
        <w:sectPr w:rsidR="0080310D">
          <w:pgSz w:w="12240" w:h="15840"/>
          <w:pgMar w:top="1360" w:right="1080" w:bottom="1300" w:left="1080" w:header="0" w:footer="1100" w:gutter="0"/>
          <w:cols w:space="720"/>
        </w:sectPr>
      </w:pPr>
    </w:p>
    <w:p w14:paraId="39381C76" w14:textId="77777777" w:rsidR="0080310D" w:rsidRDefault="004830AF">
      <w:pPr>
        <w:pStyle w:val="Heading1"/>
        <w:numPr>
          <w:ilvl w:val="0"/>
          <w:numId w:val="6"/>
        </w:numPr>
        <w:tabs>
          <w:tab w:val="left" w:pos="1440"/>
        </w:tabs>
        <w:spacing w:before="80"/>
        <w:ind w:right="1370"/>
      </w:pPr>
      <w:bookmarkStart w:id="11" w:name="11._USE_OF_PRESCRIPTION_OR_LEGEND_DRUGS,"/>
      <w:bookmarkEnd w:id="11"/>
      <w:r>
        <w:lastRenderedPageBreak/>
        <w:t>USE OF PRESCRIPTION OR LEGEND DRUGS, ANALITYCAL STANDARDS,</w:t>
      </w:r>
      <w:r>
        <w:rPr>
          <w:spacing w:val="-4"/>
        </w:rPr>
        <w:t xml:space="preserve"> </w:t>
      </w:r>
      <w:r>
        <w:t>AND</w:t>
      </w:r>
      <w:r>
        <w:rPr>
          <w:spacing w:val="-10"/>
        </w:rPr>
        <w:t xml:space="preserve"> </w:t>
      </w:r>
      <w:r>
        <w:t>CONTROLLED</w:t>
      </w:r>
      <w:r>
        <w:rPr>
          <w:spacing w:val="-9"/>
        </w:rPr>
        <w:t xml:space="preserve"> </w:t>
      </w:r>
      <w:r>
        <w:t>SUBSTANCES</w:t>
      </w:r>
      <w:r>
        <w:rPr>
          <w:spacing w:val="-8"/>
        </w:rPr>
        <w:t xml:space="preserve"> </w:t>
      </w:r>
      <w:r>
        <w:t>FOR</w:t>
      </w:r>
      <w:r>
        <w:rPr>
          <w:spacing w:val="-9"/>
        </w:rPr>
        <w:t xml:space="preserve"> </w:t>
      </w:r>
      <w:r>
        <w:t>LAWFUL RESEARCH, TEACHING, AND TESTING</w:t>
      </w:r>
    </w:p>
    <w:p w14:paraId="38A8BED3" w14:textId="77777777" w:rsidR="0080310D" w:rsidRDefault="0080310D">
      <w:pPr>
        <w:pStyle w:val="BodyText"/>
        <w:rPr>
          <w:b/>
        </w:rPr>
      </w:pPr>
    </w:p>
    <w:p w14:paraId="3CAD63F8" w14:textId="6D09CB0A" w:rsidR="0080310D" w:rsidRDefault="004830AF">
      <w:pPr>
        <w:pStyle w:val="BodyText"/>
        <w:ind w:left="720" w:right="712"/>
        <w:jc w:val="both"/>
      </w:pPr>
      <w:r>
        <w:t>The registrant is legally responsible for the prescription or legend drugs,</w:t>
      </w:r>
      <w:r>
        <w:rPr>
          <w:spacing w:val="40"/>
        </w:rPr>
        <w:t xml:space="preserve"> </w:t>
      </w:r>
      <w:r>
        <w:t>analytical standards, and controlled substances for which he or she has exemptions or registrations, in accordance with all regulations, including inventory, recordkeeping, and security provisions. Researchers with IACUC protocols must obtain their own Florida Letter of Exemption and DEA registration. In addition, each PI with an approved research grant must obtain their own licenses as well.</w:t>
      </w:r>
    </w:p>
    <w:p w14:paraId="62E0E73A" w14:textId="77777777" w:rsidR="0080310D" w:rsidRDefault="0080310D">
      <w:pPr>
        <w:pStyle w:val="BodyText"/>
      </w:pPr>
    </w:p>
    <w:p w14:paraId="69137682" w14:textId="77777777" w:rsidR="0080310D" w:rsidRDefault="004830AF">
      <w:pPr>
        <w:pStyle w:val="BodyText"/>
        <w:ind w:left="720" w:right="715"/>
        <w:jc w:val="both"/>
      </w:pPr>
      <w:r>
        <w:t xml:space="preserve">The registrant must pre-screen and authorize individuals to engage in approved activities under his or her direction. Those individuals must complete </w:t>
      </w:r>
      <w:hyperlink r:id="rId50">
        <w:r>
          <w:rPr>
            <w:color w:val="0000FF"/>
            <w:u w:val="single" w:color="0000FF"/>
          </w:rPr>
          <w:t>EHS_SOP350_FORM007</w:t>
        </w:r>
      </w:hyperlink>
      <w:r>
        <w:rPr>
          <w:color w:val="0000FF"/>
        </w:rPr>
        <w:t xml:space="preserve"> </w:t>
      </w:r>
      <w:r>
        <w:t>questionnaire prior to becoming an authorized agent. The PI will file a copy of the completed questionnaire(s) in the Controlled Substances Manual. These records must be readily retrievable upon request during inspections.</w:t>
      </w:r>
    </w:p>
    <w:p w14:paraId="2AB63C49" w14:textId="77777777" w:rsidR="0080310D" w:rsidRDefault="0080310D">
      <w:pPr>
        <w:pStyle w:val="BodyText"/>
      </w:pPr>
    </w:p>
    <w:p w14:paraId="2C3374F1" w14:textId="77777777" w:rsidR="0080310D" w:rsidRDefault="004830AF">
      <w:pPr>
        <w:pStyle w:val="BodyText"/>
        <w:spacing w:before="1"/>
        <w:ind w:left="719" w:right="717"/>
        <w:jc w:val="both"/>
      </w:pPr>
      <w:r>
        <w:t>Authorized agents must be aware of controlled substances laws and regulations, including storage, security, recordkeeping, inventory, and disposal requirements.</w:t>
      </w:r>
    </w:p>
    <w:p w14:paraId="4D1A12C6" w14:textId="77777777" w:rsidR="0080310D" w:rsidRDefault="0080310D">
      <w:pPr>
        <w:pStyle w:val="BodyText"/>
      </w:pPr>
    </w:p>
    <w:p w14:paraId="7C4F0BDE" w14:textId="77777777" w:rsidR="0080310D" w:rsidRDefault="004830AF">
      <w:pPr>
        <w:pStyle w:val="BodyText"/>
        <w:ind w:left="719" w:right="712"/>
        <w:jc w:val="both"/>
      </w:pPr>
      <w:r>
        <w:t>Controlled substances may only be transported when both the origin and destination are registered under the same registrant. PIs are prohibited from making a solution and transferring it to an unregistered individual, or transporting it to a location in which the PIs are not registered. Such movement is illegal and may subject the registrant to fines and imprisonment. Approval from the DEA must be obtained prior transportation of such drug(s) and EHS must be notified.</w:t>
      </w:r>
    </w:p>
    <w:p w14:paraId="7F8750F6" w14:textId="77777777" w:rsidR="0080310D" w:rsidRDefault="0080310D">
      <w:pPr>
        <w:pStyle w:val="BodyText"/>
      </w:pPr>
    </w:p>
    <w:p w14:paraId="0539DD64" w14:textId="77777777" w:rsidR="0080310D" w:rsidRDefault="004830AF">
      <w:pPr>
        <w:pStyle w:val="BodyText"/>
        <w:ind w:left="719" w:right="715"/>
        <w:jc w:val="both"/>
      </w:pPr>
      <w:r>
        <w:t>PIs are prohibited</w:t>
      </w:r>
      <w:r>
        <w:rPr>
          <w:spacing w:val="-1"/>
        </w:rPr>
        <w:t xml:space="preserve"> </w:t>
      </w:r>
      <w:r>
        <w:t>from making their own analytical standards for use as a testing standard. The DEA does not require a DEA registration for the purchase of analytical standards, but a Florida Letter of Exemption must be obtained. Laboratories possessing such analytical standards after obtaining approval from DBPR will be inspected by EHS any given time.</w:t>
      </w:r>
    </w:p>
    <w:p w14:paraId="17EEE7B9" w14:textId="77777777" w:rsidR="0080310D" w:rsidRDefault="0080310D">
      <w:pPr>
        <w:pStyle w:val="BodyText"/>
      </w:pPr>
    </w:p>
    <w:p w14:paraId="433C65FF" w14:textId="77777777" w:rsidR="0080310D" w:rsidRDefault="004830AF">
      <w:pPr>
        <w:pStyle w:val="Heading1"/>
        <w:numPr>
          <w:ilvl w:val="0"/>
          <w:numId w:val="6"/>
        </w:numPr>
        <w:tabs>
          <w:tab w:val="left" w:pos="1438"/>
        </w:tabs>
        <w:ind w:left="1438" w:hanging="359"/>
      </w:pPr>
      <w:bookmarkStart w:id="12" w:name="12._INVENTORY"/>
      <w:bookmarkEnd w:id="12"/>
      <w:r>
        <w:rPr>
          <w:spacing w:val="-2"/>
        </w:rPr>
        <w:t>INVENTORY</w:t>
      </w:r>
    </w:p>
    <w:p w14:paraId="7F21AD8B" w14:textId="77777777" w:rsidR="0080310D" w:rsidRDefault="0080310D">
      <w:pPr>
        <w:pStyle w:val="BodyText"/>
        <w:rPr>
          <w:b/>
        </w:rPr>
      </w:pPr>
    </w:p>
    <w:p w14:paraId="4A0B9964" w14:textId="77777777" w:rsidR="0080310D" w:rsidRDefault="004830AF">
      <w:pPr>
        <w:pStyle w:val="BodyText"/>
        <w:ind w:left="719" w:right="714"/>
        <w:jc w:val="both"/>
      </w:pPr>
      <w:r>
        <w:t xml:space="preserve">Federal regulations require an inventory of all controlled substances. PIs must maintain accurate and complete inventories, stored and secured separately from other records, and readily available for inspection. The PI will maintain the </w:t>
      </w:r>
      <w:hyperlink r:id="rId51">
        <w:r>
          <w:rPr>
            <w:color w:val="0000FF"/>
            <w:u w:val="single" w:color="0000FF"/>
          </w:rPr>
          <w:t>EHS_SOP350_FORM001</w:t>
        </w:r>
      </w:hyperlink>
      <w:r>
        <w:rPr>
          <w:color w:val="0000FF"/>
        </w:rPr>
        <w:t xml:space="preserve"> </w:t>
      </w:r>
      <w:r>
        <w:t>Biennial Inventory Form. Inventories can be taken at either</w:t>
      </w:r>
      <w:r>
        <w:rPr>
          <w:spacing w:val="-3"/>
        </w:rPr>
        <w:t xml:space="preserve"> </w:t>
      </w:r>
      <w:r>
        <w:t>the</w:t>
      </w:r>
      <w:r>
        <w:rPr>
          <w:spacing w:val="-3"/>
        </w:rPr>
        <w:t xml:space="preserve"> </w:t>
      </w:r>
      <w:r>
        <w:t>open</w:t>
      </w:r>
      <w:r>
        <w:rPr>
          <w:spacing w:val="-1"/>
        </w:rPr>
        <w:t xml:space="preserve"> </w:t>
      </w:r>
      <w:r>
        <w:t>or</w:t>
      </w:r>
      <w:r>
        <w:rPr>
          <w:spacing w:val="-3"/>
        </w:rPr>
        <w:t xml:space="preserve"> </w:t>
      </w:r>
      <w:r>
        <w:t>close</w:t>
      </w:r>
      <w:r>
        <w:rPr>
          <w:spacing w:val="-1"/>
        </w:rPr>
        <w:t xml:space="preserve"> </w:t>
      </w:r>
      <w:r>
        <w:t>of</w:t>
      </w:r>
      <w:r>
        <w:rPr>
          <w:spacing w:val="-1"/>
        </w:rPr>
        <w:t xml:space="preserve"> </w:t>
      </w:r>
      <w:r>
        <w:t>business</w:t>
      </w:r>
      <w:r>
        <w:rPr>
          <w:spacing w:val="-2"/>
        </w:rPr>
        <w:t xml:space="preserve"> </w:t>
      </w:r>
      <w:r>
        <w:t>and</w:t>
      </w:r>
      <w:r>
        <w:rPr>
          <w:spacing w:val="-1"/>
        </w:rPr>
        <w:t xml:space="preserve"> </w:t>
      </w:r>
      <w:r>
        <w:t>should</w:t>
      </w:r>
      <w:r>
        <w:rPr>
          <w:spacing w:val="-1"/>
        </w:rPr>
        <w:t xml:space="preserve"> </w:t>
      </w:r>
      <w:r>
        <w:t>be</w:t>
      </w:r>
      <w:r>
        <w:rPr>
          <w:spacing w:val="-1"/>
        </w:rPr>
        <w:t xml:space="preserve"> </w:t>
      </w:r>
      <w:r>
        <w:t>indicated</w:t>
      </w:r>
      <w:r>
        <w:rPr>
          <w:spacing w:val="-3"/>
        </w:rPr>
        <w:t xml:space="preserve"> </w:t>
      </w:r>
      <w:r>
        <w:t>as</w:t>
      </w:r>
      <w:r>
        <w:rPr>
          <w:spacing w:val="-2"/>
        </w:rPr>
        <w:t xml:space="preserve"> </w:t>
      </w:r>
      <w:r>
        <w:t>such</w:t>
      </w:r>
      <w:r>
        <w:rPr>
          <w:spacing w:val="-1"/>
        </w:rPr>
        <w:t xml:space="preserve"> </w:t>
      </w:r>
      <w:r>
        <w:t>on</w:t>
      </w:r>
      <w:r>
        <w:rPr>
          <w:spacing w:val="-3"/>
        </w:rPr>
        <w:t xml:space="preserve"> </w:t>
      </w:r>
      <w:r>
        <w:t>the</w:t>
      </w:r>
      <w:r>
        <w:rPr>
          <w:spacing w:val="-3"/>
        </w:rPr>
        <w:t xml:space="preserve"> </w:t>
      </w:r>
      <w:r>
        <w:t>form. The biennial inventory is taken every two years from after completing an Initial Inventory</w:t>
      </w:r>
      <w:r>
        <w:rPr>
          <w:spacing w:val="79"/>
          <w:w w:val="150"/>
        </w:rPr>
        <w:t xml:space="preserve"> </w:t>
      </w:r>
      <w:r>
        <w:t>Form.</w:t>
      </w:r>
      <w:r>
        <w:rPr>
          <w:spacing w:val="23"/>
        </w:rPr>
        <w:t xml:space="preserve">  </w:t>
      </w:r>
      <w:r>
        <w:t>The</w:t>
      </w:r>
      <w:r>
        <w:rPr>
          <w:spacing w:val="79"/>
          <w:w w:val="150"/>
        </w:rPr>
        <w:t xml:space="preserve"> </w:t>
      </w:r>
      <w:r>
        <w:t>form</w:t>
      </w:r>
      <w:r>
        <w:rPr>
          <w:spacing w:val="79"/>
          <w:w w:val="150"/>
        </w:rPr>
        <w:t xml:space="preserve"> </w:t>
      </w:r>
      <w:r>
        <w:t>must</w:t>
      </w:r>
      <w:r>
        <w:rPr>
          <w:spacing w:val="23"/>
        </w:rPr>
        <w:t xml:space="preserve">  </w:t>
      </w:r>
      <w:r>
        <w:t>include</w:t>
      </w:r>
      <w:r>
        <w:rPr>
          <w:spacing w:val="24"/>
        </w:rPr>
        <w:t xml:space="preserve">  </w:t>
      </w:r>
      <w:r>
        <w:t>all</w:t>
      </w:r>
      <w:r>
        <w:rPr>
          <w:spacing w:val="24"/>
        </w:rPr>
        <w:t xml:space="preserve">  </w:t>
      </w:r>
      <w:r>
        <w:t>controlled</w:t>
      </w:r>
      <w:r>
        <w:rPr>
          <w:spacing w:val="24"/>
        </w:rPr>
        <w:t xml:space="preserve">  </w:t>
      </w:r>
      <w:r>
        <w:t>substances</w:t>
      </w:r>
      <w:r>
        <w:rPr>
          <w:spacing w:val="23"/>
        </w:rPr>
        <w:t xml:space="preserve">  </w:t>
      </w:r>
      <w:r>
        <w:t>in</w:t>
      </w:r>
      <w:r>
        <w:rPr>
          <w:spacing w:val="25"/>
        </w:rPr>
        <w:t xml:space="preserve">  </w:t>
      </w:r>
      <w:r>
        <w:rPr>
          <w:spacing w:val="-5"/>
        </w:rPr>
        <w:t>the</w:t>
      </w:r>
    </w:p>
    <w:p w14:paraId="3A0880BF" w14:textId="77777777" w:rsidR="0080310D" w:rsidRDefault="0080310D">
      <w:pPr>
        <w:pStyle w:val="BodyText"/>
        <w:jc w:val="both"/>
        <w:sectPr w:rsidR="0080310D">
          <w:pgSz w:w="12240" w:h="15840"/>
          <w:pgMar w:top="1360" w:right="1080" w:bottom="1300" w:left="1080" w:header="0" w:footer="1100" w:gutter="0"/>
          <w:cols w:space="720"/>
        </w:sectPr>
      </w:pPr>
    </w:p>
    <w:p w14:paraId="733FFD0B" w14:textId="77777777" w:rsidR="0080310D" w:rsidRDefault="004830AF">
      <w:pPr>
        <w:pStyle w:val="BodyText"/>
        <w:spacing w:before="80"/>
        <w:ind w:left="719" w:right="716"/>
        <w:jc w:val="both"/>
      </w:pPr>
      <w:r>
        <w:lastRenderedPageBreak/>
        <w:t>registrant’s possession. If no drugs are in possession, it must be stated in the inventory form.</w:t>
      </w:r>
    </w:p>
    <w:p w14:paraId="78DB9125" w14:textId="77777777" w:rsidR="0080310D" w:rsidRDefault="0080310D">
      <w:pPr>
        <w:pStyle w:val="BodyText"/>
      </w:pPr>
    </w:p>
    <w:p w14:paraId="1A5C25EA" w14:textId="77777777" w:rsidR="0080310D" w:rsidRDefault="004830AF">
      <w:pPr>
        <w:pStyle w:val="BodyText"/>
        <w:ind w:left="719" w:right="718"/>
        <w:jc w:val="both"/>
      </w:pPr>
      <w:r>
        <w:t>Schedule I and II controlled substances must be recorded on a separate inventory form from all other drug Schedules.</w:t>
      </w:r>
    </w:p>
    <w:p w14:paraId="610B9E62" w14:textId="77777777" w:rsidR="00031C47" w:rsidRDefault="00031C47">
      <w:pPr>
        <w:pStyle w:val="BodyText"/>
        <w:ind w:left="720" w:right="714"/>
        <w:jc w:val="both"/>
      </w:pPr>
    </w:p>
    <w:p w14:paraId="5C274405" w14:textId="2BBF32C6" w:rsidR="0080310D" w:rsidRDefault="004830AF">
      <w:pPr>
        <w:pStyle w:val="BodyText"/>
        <w:ind w:left="720" w:right="714"/>
        <w:jc w:val="both"/>
      </w:pPr>
      <w:r>
        <w:t xml:space="preserve">The Initial Inventory Form is used only one time upon receiving a new DEA Registration. If the registrant has no inventory, the form must be filled out in its entirety, entering zero (0) inventory. The </w:t>
      </w:r>
      <w:hyperlink r:id="rId52">
        <w:r>
          <w:rPr>
            <w:color w:val="0000FF"/>
            <w:u w:val="single" w:color="0000FF"/>
          </w:rPr>
          <w:t>EHS_SOP350_FORM003</w:t>
        </w:r>
      </w:hyperlink>
      <w:r>
        <w:rPr>
          <w:color w:val="0000FF"/>
        </w:rPr>
        <w:t xml:space="preserve"> </w:t>
      </w:r>
      <w:r>
        <w:t xml:space="preserve">Controlled Substance Receipt must be filled out upon receiving shipments of controlled </w:t>
      </w:r>
      <w:r>
        <w:rPr>
          <w:spacing w:val="-2"/>
        </w:rPr>
        <w:t>substance(s).</w:t>
      </w:r>
    </w:p>
    <w:p w14:paraId="69694EA1" w14:textId="77777777" w:rsidR="0080310D" w:rsidRDefault="0080310D">
      <w:pPr>
        <w:pStyle w:val="BodyText"/>
      </w:pPr>
    </w:p>
    <w:p w14:paraId="07FA5607" w14:textId="77777777" w:rsidR="0080310D" w:rsidRDefault="004830AF">
      <w:pPr>
        <w:pStyle w:val="BodyText"/>
        <w:ind w:left="720" w:right="715"/>
        <w:jc w:val="both"/>
        <w:rPr>
          <w:i/>
        </w:rPr>
      </w:pPr>
      <w:r>
        <w:rPr>
          <w:i/>
        </w:rPr>
        <w:t>Diluted Materials and Cocktail Mixtures</w:t>
      </w:r>
      <w:r>
        <w:t>: A dilution, created and used entirely during one application, does not require the creation of a Use Log. If any dilution remains for intended use at a later date, the PI must fill in a Use Log, as it is considered a “new product” and dilution</w:t>
      </w:r>
      <w:r>
        <w:rPr>
          <w:i/>
        </w:rPr>
        <w:t>.</w:t>
      </w:r>
    </w:p>
    <w:p w14:paraId="29C2EE5C" w14:textId="77777777" w:rsidR="0080310D" w:rsidRDefault="0080310D">
      <w:pPr>
        <w:pStyle w:val="BodyText"/>
        <w:rPr>
          <w:i/>
        </w:rPr>
      </w:pPr>
    </w:p>
    <w:p w14:paraId="363F1285" w14:textId="77777777" w:rsidR="0080310D" w:rsidRDefault="004830AF">
      <w:pPr>
        <w:pStyle w:val="BodyText"/>
        <w:spacing w:before="1"/>
        <w:ind w:left="720" w:right="716"/>
        <w:jc w:val="both"/>
      </w:pPr>
      <w:r>
        <w:rPr>
          <w:i/>
        </w:rPr>
        <w:t>Waste</w:t>
      </w:r>
      <w:r>
        <w:t>: A dilution, created and not used in its entirety in one application, is considered waste if there are no plans to use the material at a later date.</w:t>
      </w:r>
      <w:r>
        <w:rPr>
          <w:spacing w:val="40"/>
        </w:rPr>
        <w:t xml:space="preserve"> </w:t>
      </w:r>
      <w:r>
        <w:t>Waste dilutions may not be combined into a single waste container. Each dilution container must be disposed of through a Reverse Distributor.</w:t>
      </w:r>
    </w:p>
    <w:p w14:paraId="2CB63CA7" w14:textId="77777777" w:rsidR="0080310D" w:rsidRDefault="004830AF">
      <w:pPr>
        <w:pStyle w:val="BodyText"/>
        <w:spacing w:before="276"/>
        <w:ind w:left="720" w:right="715"/>
        <w:jc w:val="both"/>
      </w:pPr>
      <w:r>
        <w:t>Empty drug containers must be defaced and</w:t>
      </w:r>
      <w:r>
        <w:rPr>
          <w:spacing w:val="-1"/>
        </w:rPr>
        <w:t xml:space="preserve"> </w:t>
      </w:r>
      <w:r>
        <w:t>may be discarded after defacing the manufacturer’s label. Refer to the UCF Environmental Management Program on the EHS website for disposal instructions on empty containers.</w:t>
      </w:r>
    </w:p>
    <w:p w14:paraId="66419F51" w14:textId="77777777" w:rsidR="0080310D" w:rsidRDefault="0080310D">
      <w:pPr>
        <w:pStyle w:val="BodyText"/>
      </w:pPr>
    </w:p>
    <w:p w14:paraId="7E89DFA8" w14:textId="77777777" w:rsidR="0080310D" w:rsidRDefault="004830AF">
      <w:pPr>
        <w:pStyle w:val="BodyText"/>
        <w:ind w:left="720" w:right="715"/>
        <w:jc w:val="both"/>
      </w:pPr>
      <w:r>
        <w:t>An inventory of DEA analytical standards must be maintained by the authorized user. Inventories must be readily available upon request by DBPR and EHS.</w:t>
      </w:r>
    </w:p>
    <w:p w14:paraId="0A562C31" w14:textId="77777777" w:rsidR="0080310D" w:rsidRDefault="0080310D">
      <w:pPr>
        <w:pStyle w:val="BodyText"/>
      </w:pPr>
    </w:p>
    <w:p w14:paraId="26EA0687" w14:textId="77777777" w:rsidR="0080310D" w:rsidRDefault="004830AF">
      <w:pPr>
        <w:pStyle w:val="Heading1"/>
        <w:numPr>
          <w:ilvl w:val="0"/>
          <w:numId w:val="6"/>
        </w:numPr>
        <w:tabs>
          <w:tab w:val="left" w:pos="1439"/>
        </w:tabs>
        <w:ind w:left="1439" w:hanging="359"/>
      </w:pPr>
      <w:bookmarkStart w:id="13" w:name="13._SECURITY_AND_STORAGE"/>
      <w:bookmarkEnd w:id="13"/>
      <w:r>
        <w:t>SECURITY</w:t>
      </w:r>
      <w:r>
        <w:rPr>
          <w:spacing w:val="-3"/>
        </w:rPr>
        <w:t xml:space="preserve"> </w:t>
      </w:r>
      <w:r>
        <w:t>AND</w:t>
      </w:r>
      <w:r>
        <w:rPr>
          <w:spacing w:val="-5"/>
        </w:rPr>
        <w:t xml:space="preserve"> </w:t>
      </w:r>
      <w:r>
        <w:rPr>
          <w:spacing w:val="-2"/>
        </w:rPr>
        <w:t>STORAGE</w:t>
      </w:r>
    </w:p>
    <w:p w14:paraId="7B0941C1" w14:textId="77777777" w:rsidR="0080310D" w:rsidRDefault="0080310D">
      <w:pPr>
        <w:pStyle w:val="BodyText"/>
        <w:rPr>
          <w:b/>
        </w:rPr>
      </w:pPr>
    </w:p>
    <w:p w14:paraId="2D2C8BB7" w14:textId="77777777" w:rsidR="0080310D" w:rsidRDefault="004830AF">
      <w:pPr>
        <w:pStyle w:val="BodyText"/>
        <w:ind w:left="719" w:right="712"/>
        <w:jc w:val="both"/>
      </w:pPr>
      <w:r>
        <w:t>The registrant must store prescription drugs, including DEA analytical standards and controlled substances with effective controls to guard against theft or diversion. Registrants may not share the same controlled substances storage unit, store other chemicals or supplies in the controlled substances storage unit, or store controlled substances in corridors. The registrant must secure the area from unauthorized entry or unauthorized access when authorized personnel are not present. Storage must provide at least two levels of security, such as a</w:t>
      </w:r>
      <w:r>
        <w:rPr>
          <w:spacing w:val="40"/>
        </w:rPr>
        <w:t xml:space="preserve"> </w:t>
      </w:r>
      <w:r>
        <w:t>locked cabinet within a locked room, or a lockbox within a locked cabinet. Schedules III-V drugs and prescription drugs or other chemicals may not be stored with Schedule I and II controlled substances.</w:t>
      </w:r>
      <w:r>
        <w:rPr>
          <w:spacing w:val="40"/>
        </w:rPr>
        <w:t xml:space="preserve"> </w:t>
      </w:r>
      <w:r>
        <w:t>All inventories must be stored in separate, clearly-marked areas to avoid confusion or contamination.</w:t>
      </w:r>
      <w:r>
        <w:rPr>
          <w:spacing w:val="40"/>
        </w:rPr>
        <w:t xml:space="preserve"> </w:t>
      </w:r>
      <w:r>
        <w:t>A separate isolation area must also be maintained for all prescription drugs and controlled substances that are out of date, deteriorated, mislabeled, or otherwise unfit for use. The products must be maintained within the manufacturer’s recommended temperature tolerances.</w:t>
      </w:r>
    </w:p>
    <w:p w14:paraId="20F8B609" w14:textId="77777777" w:rsidR="0080310D" w:rsidRDefault="0080310D">
      <w:pPr>
        <w:pStyle w:val="BodyText"/>
        <w:jc w:val="both"/>
        <w:sectPr w:rsidR="0080310D">
          <w:pgSz w:w="12240" w:h="15840"/>
          <w:pgMar w:top="1360" w:right="1080" w:bottom="1300" w:left="1080" w:header="0" w:footer="1100" w:gutter="0"/>
          <w:cols w:space="720"/>
        </w:sectPr>
      </w:pPr>
    </w:p>
    <w:p w14:paraId="006C46D9" w14:textId="77777777" w:rsidR="0080310D" w:rsidRDefault="004830AF">
      <w:pPr>
        <w:pStyle w:val="BodyText"/>
        <w:spacing w:before="80"/>
        <w:ind w:left="720" w:right="715"/>
        <w:jc w:val="both"/>
      </w:pPr>
      <w:r>
        <w:lastRenderedPageBreak/>
        <w:t>Schedules I and II controlled substances must be secured in a GSA Class V</w:t>
      </w:r>
      <w:r>
        <w:rPr>
          <w:spacing w:val="40"/>
        </w:rPr>
        <w:t xml:space="preserve"> </w:t>
      </w:r>
      <w:r>
        <w:t>safe. If the safe weighs less than 750 lbs., then it must be bolted or cemented to the building structure.</w:t>
      </w:r>
    </w:p>
    <w:p w14:paraId="54E6A28F" w14:textId="77777777" w:rsidR="0080310D" w:rsidRDefault="0080310D">
      <w:pPr>
        <w:pStyle w:val="BodyText"/>
      </w:pPr>
    </w:p>
    <w:p w14:paraId="2EF73CD7" w14:textId="77777777" w:rsidR="0080310D" w:rsidRDefault="004830AF">
      <w:pPr>
        <w:pStyle w:val="BodyText"/>
        <w:ind w:left="720" w:right="712"/>
        <w:jc w:val="both"/>
      </w:pPr>
      <w:r>
        <w:t>Schedules III-V controlled substances must be stored in safes or in securely locked, substantially- constructed cabinets, provided that they are not accessible from above or below, and are preferably permanently bolted or cemented to the building structure. Metal cabinets are preferred and should be resistant to entry by</w:t>
      </w:r>
      <w:r>
        <w:rPr>
          <w:spacing w:val="-3"/>
        </w:rPr>
        <w:t xml:space="preserve"> </w:t>
      </w:r>
      <w:r>
        <w:t>tools</w:t>
      </w:r>
      <w:r>
        <w:rPr>
          <w:spacing w:val="-1"/>
        </w:rPr>
        <w:t xml:space="preserve"> </w:t>
      </w:r>
      <w:r>
        <w:t>such</w:t>
      </w:r>
      <w:r>
        <w:rPr>
          <w:spacing w:val="-2"/>
        </w:rPr>
        <w:t xml:space="preserve"> </w:t>
      </w:r>
      <w:r>
        <w:t>as</w:t>
      </w:r>
      <w:r>
        <w:rPr>
          <w:spacing w:val="-1"/>
        </w:rPr>
        <w:t xml:space="preserve"> </w:t>
      </w:r>
      <w:r>
        <w:t>screwdrivers, crowbars, tire tools,</w:t>
      </w:r>
      <w:r>
        <w:rPr>
          <w:spacing w:val="-2"/>
        </w:rPr>
        <w:t xml:space="preserve"> </w:t>
      </w:r>
      <w:r>
        <w:t>or</w:t>
      </w:r>
      <w:r>
        <w:rPr>
          <w:spacing w:val="-1"/>
        </w:rPr>
        <w:t xml:space="preserve"> </w:t>
      </w:r>
      <w:r>
        <w:t>pry</w:t>
      </w:r>
      <w:r>
        <w:rPr>
          <w:spacing w:val="-3"/>
        </w:rPr>
        <w:t xml:space="preserve"> </w:t>
      </w:r>
      <w:r>
        <w:t>bars. Hinges</w:t>
      </w:r>
      <w:r>
        <w:rPr>
          <w:spacing w:val="-1"/>
        </w:rPr>
        <w:t xml:space="preserve"> </w:t>
      </w:r>
      <w:r>
        <w:t>should</w:t>
      </w:r>
      <w:r>
        <w:rPr>
          <w:spacing w:val="-2"/>
        </w:rPr>
        <w:t xml:space="preserve"> </w:t>
      </w:r>
      <w:r>
        <w:t xml:space="preserve">not be mounted on the outside, and deadbolt-type locks should be permanently </w:t>
      </w:r>
      <w:r>
        <w:rPr>
          <w:spacing w:val="-2"/>
        </w:rPr>
        <w:t>installed.</w:t>
      </w:r>
    </w:p>
    <w:p w14:paraId="5DE5D0D5" w14:textId="77777777" w:rsidR="0080310D" w:rsidRDefault="0080310D">
      <w:pPr>
        <w:pStyle w:val="BodyText"/>
      </w:pPr>
    </w:p>
    <w:p w14:paraId="54895538" w14:textId="623468E0" w:rsidR="0080310D" w:rsidRDefault="004830AF">
      <w:pPr>
        <w:pStyle w:val="BodyText"/>
        <w:ind w:left="720" w:right="713"/>
        <w:jc w:val="both"/>
      </w:pPr>
      <w:r>
        <w:t xml:space="preserve">The registrant must limit access to as few personnel as possible and maintain control of the keys. The registrant must change combinations and retrieve keys when authorized agents leave their positions in the lab. The registrant must document personnel changes in the Controlled Substance Manual and notify the </w:t>
      </w:r>
      <w:r w:rsidR="00696032">
        <w:t>Biological Safety Officer</w:t>
      </w:r>
      <w:r>
        <w:t xml:space="preserve"> of any changes by using the Authorization Update form.</w:t>
      </w:r>
    </w:p>
    <w:p w14:paraId="33971704" w14:textId="77777777" w:rsidR="0080310D" w:rsidRDefault="0080310D">
      <w:pPr>
        <w:pStyle w:val="BodyText"/>
      </w:pPr>
    </w:p>
    <w:p w14:paraId="2497A5B2" w14:textId="77777777" w:rsidR="0080310D" w:rsidRDefault="004830AF">
      <w:pPr>
        <w:pStyle w:val="Heading1"/>
        <w:numPr>
          <w:ilvl w:val="0"/>
          <w:numId w:val="6"/>
        </w:numPr>
        <w:tabs>
          <w:tab w:val="left" w:pos="1439"/>
        </w:tabs>
        <w:spacing w:before="276"/>
        <w:ind w:left="1439" w:hanging="359"/>
      </w:pPr>
      <w:bookmarkStart w:id="14" w:name="14._DISPOSAL"/>
      <w:bookmarkEnd w:id="14"/>
      <w:r>
        <w:rPr>
          <w:spacing w:val="-2"/>
        </w:rPr>
        <w:t>DISPOSAL</w:t>
      </w:r>
    </w:p>
    <w:p w14:paraId="68BC696A" w14:textId="77777777" w:rsidR="0080310D" w:rsidRDefault="004830AF">
      <w:pPr>
        <w:pStyle w:val="Heading2"/>
        <w:spacing w:before="276"/>
      </w:pPr>
      <w:r>
        <w:t>Hazardous</w:t>
      </w:r>
      <w:r>
        <w:rPr>
          <w:spacing w:val="-7"/>
        </w:rPr>
        <w:t xml:space="preserve"> </w:t>
      </w:r>
      <w:r>
        <w:t>Waste</w:t>
      </w:r>
      <w:r>
        <w:rPr>
          <w:spacing w:val="-5"/>
        </w:rPr>
        <w:t xml:space="preserve"> </w:t>
      </w:r>
      <w:r>
        <w:t>Pharmaceuticals</w:t>
      </w:r>
      <w:r>
        <w:rPr>
          <w:spacing w:val="-3"/>
        </w:rPr>
        <w:t xml:space="preserve"> </w:t>
      </w:r>
      <w:r>
        <w:t>(Controlled</w:t>
      </w:r>
      <w:r>
        <w:rPr>
          <w:spacing w:val="-3"/>
        </w:rPr>
        <w:t xml:space="preserve"> </w:t>
      </w:r>
      <w:r>
        <w:rPr>
          <w:spacing w:val="-2"/>
        </w:rPr>
        <w:t>Substances)</w:t>
      </w:r>
    </w:p>
    <w:p w14:paraId="1F24F9DA" w14:textId="77777777" w:rsidR="0080310D" w:rsidRDefault="0080310D">
      <w:pPr>
        <w:pStyle w:val="BodyText"/>
        <w:rPr>
          <w:b/>
        </w:rPr>
      </w:pPr>
    </w:p>
    <w:p w14:paraId="6891DAB6" w14:textId="77777777" w:rsidR="0080310D" w:rsidRDefault="004830AF">
      <w:pPr>
        <w:pStyle w:val="BodyText"/>
        <w:ind w:left="720" w:right="717"/>
        <w:jc w:val="both"/>
      </w:pPr>
      <w:r>
        <w:t>To minimize waste, the registrant should only purchase quantities of prescription drugs and controlled substances that he or she intends to use.</w:t>
      </w:r>
    </w:p>
    <w:p w14:paraId="3E807300" w14:textId="77777777" w:rsidR="0080310D" w:rsidRDefault="0080310D">
      <w:pPr>
        <w:pStyle w:val="BodyText"/>
      </w:pPr>
    </w:p>
    <w:p w14:paraId="60C89CA4" w14:textId="77777777" w:rsidR="0080310D" w:rsidRDefault="004830AF">
      <w:pPr>
        <w:pStyle w:val="BodyText"/>
        <w:ind w:left="720" w:right="713"/>
        <w:jc w:val="both"/>
      </w:pPr>
      <w:r>
        <w:t>The registrant is responsible for the proper disposal of prescription drugs and controlled substances, and for associated recordkeeping in accordance with applicable</w:t>
      </w:r>
      <w:r>
        <w:rPr>
          <w:spacing w:val="-2"/>
        </w:rPr>
        <w:t xml:space="preserve"> </w:t>
      </w:r>
      <w:r>
        <w:t>state</w:t>
      </w:r>
      <w:r>
        <w:rPr>
          <w:spacing w:val="-2"/>
        </w:rPr>
        <w:t xml:space="preserve"> </w:t>
      </w:r>
      <w:r>
        <w:t>and</w:t>
      </w:r>
      <w:r>
        <w:rPr>
          <w:spacing w:val="-4"/>
        </w:rPr>
        <w:t xml:space="preserve"> </w:t>
      </w:r>
      <w:r>
        <w:t>federal</w:t>
      </w:r>
      <w:r>
        <w:rPr>
          <w:spacing w:val="-3"/>
        </w:rPr>
        <w:t xml:space="preserve"> </w:t>
      </w:r>
      <w:r>
        <w:t>regulations.</w:t>
      </w:r>
      <w:r>
        <w:rPr>
          <w:spacing w:val="-5"/>
        </w:rPr>
        <w:t xml:space="preserve"> </w:t>
      </w:r>
      <w:r>
        <w:t>The</w:t>
      </w:r>
      <w:r>
        <w:rPr>
          <w:spacing w:val="-4"/>
        </w:rPr>
        <w:t xml:space="preserve"> </w:t>
      </w:r>
      <w:r>
        <w:t>registrant</w:t>
      </w:r>
      <w:r>
        <w:rPr>
          <w:spacing w:val="-2"/>
        </w:rPr>
        <w:t xml:space="preserve"> </w:t>
      </w:r>
      <w:r>
        <w:t>must</w:t>
      </w:r>
      <w:r>
        <w:rPr>
          <w:spacing w:val="-5"/>
        </w:rPr>
        <w:t xml:space="preserve"> </w:t>
      </w:r>
      <w:r>
        <w:t>maintain</w:t>
      </w:r>
      <w:r>
        <w:rPr>
          <w:spacing w:val="-2"/>
        </w:rPr>
        <w:t xml:space="preserve"> </w:t>
      </w:r>
      <w:r>
        <w:t>the</w:t>
      </w:r>
      <w:r>
        <w:rPr>
          <w:spacing w:val="-2"/>
        </w:rPr>
        <w:t xml:space="preserve"> </w:t>
      </w:r>
      <w:r>
        <w:t xml:space="preserve">transfer and disposal records for at least two (2) years after disposal of a controlled substances. For instructions on proper disposal of empty vial containers, click </w:t>
      </w:r>
      <w:hyperlink r:id="rId53">
        <w:r>
          <w:rPr>
            <w:color w:val="0000FF"/>
            <w:spacing w:val="-2"/>
            <w:u w:val="single" w:color="0000FF"/>
          </w:rPr>
          <w:t>here</w:t>
        </w:r>
      </w:hyperlink>
      <w:r>
        <w:rPr>
          <w:spacing w:val="-2"/>
        </w:rPr>
        <w:t>.</w:t>
      </w:r>
    </w:p>
    <w:p w14:paraId="0B2E3106" w14:textId="77777777" w:rsidR="0080310D" w:rsidRDefault="0080310D">
      <w:pPr>
        <w:pStyle w:val="BodyText"/>
      </w:pPr>
    </w:p>
    <w:p w14:paraId="061B66CF" w14:textId="77777777" w:rsidR="0080310D" w:rsidRDefault="004830AF">
      <w:pPr>
        <w:pStyle w:val="BodyText"/>
        <w:ind w:left="720" w:right="713"/>
        <w:jc w:val="both"/>
      </w:pPr>
      <w:r>
        <w:t>The registrant must properly dispose of all controlled substances prior to leaving the university. Any PI who orphans or leaves controlled substances within his or her lab is in violation of federal law. The PI’s department will be held responsible for disposal expenses associated with orphaned drugs. EHS does not hold a</w:t>
      </w:r>
      <w:r>
        <w:rPr>
          <w:spacing w:val="40"/>
        </w:rPr>
        <w:t xml:space="preserve"> </w:t>
      </w:r>
      <w:r>
        <w:t>DEA registration, and therefore cannot hold or dispose of controlled substances.</w:t>
      </w:r>
    </w:p>
    <w:p w14:paraId="6443CC71" w14:textId="77777777" w:rsidR="0080310D" w:rsidRDefault="0080310D">
      <w:pPr>
        <w:pStyle w:val="BodyText"/>
      </w:pPr>
    </w:p>
    <w:p w14:paraId="18070290" w14:textId="77777777" w:rsidR="0080310D" w:rsidRDefault="004830AF">
      <w:pPr>
        <w:pStyle w:val="BodyText"/>
        <w:ind w:left="720" w:right="715"/>
        <w:jc w:val="both"/>
      </w:pPr>
      <w:r>
        <w:t xml:space="preserve">UCF employs the Reverse Distribution method for the disposal of controlled substances, and disposal costs are the responsibility of the registrant. Click </w:t>
      </w:r>
      <w:hyperlink r:id="rId54">
        <w:r>
          <w:rPr>
            <w:color w:val="0000FF"/>
            <w:u w:val="single" w:color="0000FF"/>
          </w:rPr>
          <w:t>here</w:t>
        </w:r>
      </w:hyperlink>
      <w:r>
        <w:rPr>
          <w:color w:val="0000FF"/>
        </w:rPr>
        <w:t xml:space="preserve"> </w:t>
      </w:r>
      <w:r>
        <w:t xml:space="preserve">for the disposal process. The registrant must contact one of the reverse distribution vendors listed on the </w:t>
      </w:r>
      <w:hyperlink r:id="rId55">
        <w:r>
          <w:rPr>
            <w:color w:val="0000FF"/>
            <w:u w:val="single" w:color="0000FF"/>
          </w:rPr>
          <w:t>Reverse Distributor List</w:t>
        </w:r>
      </w:hyperlink>
      <w:r>
        <w:t>. EHS does not endorse any</w:t>
      </w:r>
      <w:r>
        <w:rPr>
          <w:spacing w:val="40"/>
        </w:rPr>
        <w:t xml:space="preserve"> </w:t>
      </w:r>
      <w:r>
        <w:t>vendor.</w:t>
      </w:r>
      <w:r>
        <w:rPr>
          <w:spacing w:val="40"/>
        </w:rPr>
        <w:t xml:space="preserve"> </w:t>
      </w:r>
      <w:r>
        <w:t>The</w:t>
      </w:r>
      <w:r>
        <w:rPr>
          <w:spacing w:val="40"/>
        </w:rPr>
        <w:t xml:space="preserve"> </w:t>
      </w:r>
      <w:r>
        <w:t>registrant</w:t>
      </w:r>
      <w:r>
        <w:rPr>
          <w:spacing w:val="40"/>
        </w:rPr>
        <w:t xml:space="preserve"> </w:t>
      </w:r>
      <w:r>
        <w:t>must</w:t>
      </w:r>
      <w:r>
        <w:rPr>
          <w:spacing w:val="40"/>
        </w:rPr>
        <w:t xml:space="preserve"> </w:t>
      </w:r>
      <w:r>
        <w:t>complete</w:t>
      </w:r>
      <w:r>
        <w:rPr>
          <w:spacing w:val="40"/>
        </w:rPr>
        <w:t xml:space="preserve"> </w:t>
      </w:r>
      <w:r>
        <w:t>vendor-supplied</w:t>
      </w:r>
      <w:r>
        <w:rPr>
          <w:spacing w:val="40"/>
        </w:rPr>
        <w:t xml:space="preserve"> </w:t>
      </w:r>
      <w:r>
        <w:t>forms</w:t>
      </w:r>
      <w:r>
        <w:rPr>
          <w:spacing w:val="40"/>
        </w:rPr>
        <w:t xml:space="preserve"> </w:t>
      </w:r>
      <w:r>
        <w:t>and</w:t>
      </w:r>
      <w:r>
        <w:rPr>
          <w:spacing w:val="40"/>
        </w:rPr>
        <w:t xml:space="preserve"> </w:t>
      </w:r>
      <w:r>
        <w:t>submit</w:t>
      </w:r>
    </w:p>
    <w:p w14:paraId="5FFA1D49" w14:textId="77777777" w:rsidR="0080310D" w:rsidRDefault="0080310D">
      <w:pPr>
        <w:pStyle w:val="BodyText"/>
        <w:jc w:val="both"/>
        <w:sectPr w:rsidR="0080310D">
          <w:pgSz w:w="12240" w:h="15840"/>
          <w:pgMar w:top="1360" w:right="1080" w:bottom="1300" w:left="1080" w:header="0" w:footer="1100" w:gutter="0"/>
          <w:cols w:space="720"/>
        </w:sectPr>
      </w:pPr>
    </w:p>
    <w:p w14:paraId="19426498" w14:textId="77777777" w:rsidR="0080310D" w:rsidRDefault="004830AF">
      <w:pPr>
        <w:pStyle w:val="BodyText"/>
        <w:spacing w:before="80"/>
        <w:ind w:left="720" w:right="712"/>
        <w:jc w:val="both"/>
      </w:pPr>
      <w:r>
        <w:lastRenderedPageBreak/>
        <w:t>them for approval from the Reverse Distributor selected. Upon approval, the vendor will send pre-addressed shipping labels to the registrant to return the substances to the vendor for disposal.</w:t>
      </w:r>
    </w:p>
    <w:p w14:paraId="2319E45A" w14:textId="77777777" w:rsidR="0080310D" w:rsidRDefault="0080310D">
      <w:pPr>
        <w:pStyle w:val="BodyText"/>
      </w:pPr>
    </w:p>
    <w:p w14:paraId="335A0EF6" w14:textId="77777777" w:rsidR="0080310D" w:rsidRDefault="004830AF">
      <w:pPr>
        <w:pStyle w:val="Heading2"/>
      </w:pPr>
      <w:r>
        <w:t>Hazardous</w:t>
      </w:r>
      <w:r>
        <w:rPr>
          <w:spacing w:val="-9"/>
        </w:rPr>
        <w:t xml:space="preserve"> </w:t>
      </w:r>
      <w:r>
        <w:t>Waste</w:t>
      </w:r>
      <w:r>
        <w:rPr>
          <w:spacing w:val="-6"/>
        </w:rPr>
        <w:t xml:space="preserve"> </w:t>
      </w:r>
      <w:r>
        <w:t>Pharmaceuticals</w:t>
      </w:r>
      <w:r>
        <w:rPr>
          <w:spacing w:val="-4"/>
        </w:rPr>
        <w:t xml:space="preserve"> </w:t>
      </w:r>
      <w:r>
        <w:t>(Non-Controlled</w:t>
      </w:r>
      <w:r>
        <w:rPr>
          <w:spacing w:val="-5"/>
        </w:rPr>
        <w:t xml:space="preserve"> </w:t>
      </w:r>
      <w:r>
        <w:rPr>
          <w:spacing w:val="-2"/>
        </w:rPr>
        <w:t>Substances)</w:t>
      </w:r>
    </w:p>
    <w:p w14:paraId="20FCCB09" w14:textId="77777777" w:rsidR="0080310D" w:rsidRDefault="0080310D">
      <w:pPr>
        <w:pStyle w:val="BodyText"/>
        <w:rPr>
          <w:b/>
        </w:rPr>
      </w:pPr>
    </w:p>
    <w:p w14:paraId="1D05DFAE" w14:textId="77777777" w:rsidR="0080310D" w:rsidRDefault="004830AF">
      <w:pPr>
        <w:pStyle w:val="BodyText"/>
        <w:ind w:left="720" w:right="713"/>
        <w:jc w:val="both"/>
      </w:pPr>
      <w:r>
        <w:t>The registrant must dispose of any unusable, non-scheduled prescription or legend drugs as hazardous waste through EHS or through a Reverse Distributor.</w:t>
      </w:r>
    </w:p>
    <w:p w14:paraId="0562CDA9" w14:textId="77777777" w:rsidR="0080310D" w:rsidRDefault="0080310D">
      <w:pPr>
        <w:pStyle w:val="BodyText"/>
      </w:pPr>
    </w:p>
    <w:p w14:paraId="3A788FC1" w14:textId="77777777" w:rsidR="0080310D" w:rsidRDefault="004830AF">
      <w:pPr>
        <w:pStyle w:val="BodyText"/>
        <w:ind w:left="719" w:right="716"/>
        <w:jc w:val="both"/>
      </w:pPr>
      <w:r>
        <w:t xml:space="preserve">Many chemical and/or pharmaceutical compounds used in research or in the treatment of disease are </w:t>
      </w:r>
      <w:hyperlink r:id="rId56">
        <w:r>
          <w:rPr>
            <w:color w:val="0000FF"/>
            <w:u w:val="single" w:color="0000FF"/>
          </w:rPr>
          <w:t>regulated by the EPA</w:t>
        </w:r>
      </w:hyperlink>
      <w:r>
        <w:rPr>
          <w:color w:val="0000FF"/>
        </w:rPr>
        <w:t xml:space="preserve"> </w:t>
      </w:r>
      <w:r>
        <w:t xml:space="preserve">as </w:t>
      </w:r>
      <w:hyperlink r:id="rId57">
        <w:r>
          <w:rPr>
            <w:color w:val="0000FF"/>
            <w:u w:val="single" w:color="0000FF"/>
          </w:rPr>
          <w:t>listed wastes</w:t>
        </w:r>
      </w:hyperlink>
      <w:r>
        <w:rPr>
          <w:color w:val="0000FF"/>
        </w:rPr>
        <w:t xml:space="preserve"> </w:t>
      </w:r>
      <w:r>
        <w:t>and must be treated as hazardous waste when disposed; those that contain even minute amounts</w:t>
      </w:r>
      <w:r>
        <w:rPr>
          <w:spacing w:val="-4"/>
        </w:rPr>
        <w:t xml:space="preserve"> </w:t>
      </w:r>
      <w:r>
        <w:t>of EPA-listed</w:t>
      </w:r>
      <w:r>
        <w:rPr>
          <w:spacing w:val="-3"/>
        </w:rPr>
        <w:t xml:space="preserve"> </w:t>
      </w:r>
      <w:r>
        <w:t>chemicals</w:t>
      </w:r>
      <w:r>
        <w:rPr>
          <w:spacing w:val="-2"/>
        </w:rPr>
        <w:t xml:space="preserve"> </w:t>
      </w:r>
      <w:r>
        <w:t>are</w:t>
      </w:r>
      <w:r>
        <w:rPr>
          <w:spacing w:val="-1"/>
        </w:rPr>
        <w:t xml:space="preserve"> </w:t>
      </w:r>
      <w:r>
        <w:t>considered</w:t>
      </w:r>
      <w:r>
        <w:rPr>
          <w:spacing w:val="-1"/>
        </w:rPr>
        <w:t xml:space="preserve"> </w:t>
      </w:r>
      <w:r>
        <w:t>hazardous</w:t>
      </w:r>
      <w:r>
        <w:rPr>
          <w:spacing w:val="-4"/>
        </w:rPr>
        <w:t xml:space="preserve"> </w:t>
      </w:r>
      <w:r>
        <w:t>waste.</w:t>
      </w:r>
      <w:r>
        <w:rPr>
          <w:spacing w:val="-4"/>
        </w:rPr>
        <w:t xml:space="preserve"> </w:t>
      </w:r>
      <w:r>
        <w:t>Accumulation of pharmaceutical-related hazardous waste includes:</w:t>
      </w:r>
    </w:p>
    <w:p w14:paraId="3E2FC444" w14:textId="77777777" w:rsidR="0080310D" w:rsidRDefault="0080310D">
      <w:pPr>
        <w:pStyle w:val="BodyText"/>
        <w:spacing w:before="1"/>
      </w:pPr>
    </w:p>
    <w:p w14:paraId="498946C9" w14:textId="77777777" w:rsidR="0080310D" w:rsidRDefault="004830AF">
      <w:pPr>
        <w:pStyle w:val="ListParagraph"/>
        <w:numPr>
          <w:ilvl w:val="0"/>
          <w:numId w:val="3"/>
        </w:numPr>
        <w:tabs>
          <w:tab w:val="left" w:pos="1080"/>
        </w:tabs>
        <w:ind w:right="713"/>
        <w:rPr>
          <w:sz w:val="24"/>
        </w:rPr>
      </w:pPr>
      <w:r>
        <w:rPr>
          <w:sz w:val="24"/>
        </w:rPr>
        <w:t>Waste</w:t>
      </w:r>
      <w:r>
        <w:rPr>
          <w:spacing w:val="80"/>
          <w:sz w:val="24"/>
        </w:rPr>
        <w:t xml:space="preserve"> </w:t>
      </w:r>
      <w:r>
        <w:rPr>
          <w:sz w:val="24"/>
        </w:rPr>
        <w:t>material</w:t>
      </w:r>
      <w:r>
        <w:rPr>
          <w:spacing w:val="78"/>
          <w:sz w:val="24"/>
        </w:rPr>
        <w:t xml:space="preserve"> </w:t>
      </w:r>
      <w:r>
        <w:rPr>
          <w:sz w:val="24"/>
        </w:rPr>
        <w:t>generated</w:t>
      </w:r>
      <w:r>
        <w:rPr>
          <w:spacing w:val="77"/>
          <w:sz w:val="24"/>
        </w:rPr>
        <w:t xml:space="preserve"> </w:t>
      </w:r>
      <w:r>
        <w:rPr>
          <w:sz w:val="24"/>
        </w:rPr>
        <w:t>by</w:t>
      </w:r>
      <w:r>
        <w:rPr>
          <w:spacing w:val="77"/>
          <w:sz w:val="24"/>
        </w:rPr>
        <w:t xml:space="preserve"> </w:t>
      </w:r>
      <w:r>
        <w:rPr>
          <w:sz w:val="24"/>
        </w:rPr>
        <w:t>the</w:t>
      </w:r>
      <w:r>
        <w:rPr>
          <w:spacing w:val="80"/>
          <w:sz w:val="24"/>
        </w:rPr>
        <w:t xml:space="preserve"> </w:t>
      </w:r>
      <w:r>
        <w:rPr>
          <w:sz w:val="24"/>
        </w:rPr>
        <w:t>use</w:t>
      </w:r>
      <w:r>
        <w:rPr>
          <w:spacing w:val="77"/>
          <w:sz w:val="24"/>
        </w:rPr>
        <w:t xml:space="preserve"> </w:t>
      </w:r>
      <w:r>
        <w:rPr>
          <w:sz w:val="24"/>
        </w:rPr>
        <w:t>or</w:t>
      </w:r>
      <w:r>
        <w:rPr>
          <w:spacing w:val="78"/>
          <w:sz w:val="24"/>
        </w:rPr>
        <w:t xml:space="preserve"> </w:t>
      </w:r>
      <w:r>
        <w:rPr>
          <w:sz w:val="24"/>
        </w:rPr>
        <w:t>delivery</w:t>
      </w:r>
      <w:r>
        <w:rPr>
          <w:spacing w:val="77"/>
          <w:sz w:val="24"/>
        </w:rPr>
        <w:t xml:space="preserve"> </w:t>
      </w:r>
      <w:r>
        <w:rPr>
          <w:sz w:val="24"/>
        </w:rPr>
        <w:t>of</w:t>
      </w:r>
      <w:r>
        <w:rPr>
          <w:spacing w:val="80"/>
          <w:sz w:val="24"/>
        </w:rPr>
        <w:t xml:space="preserve"> </w:t>
      </w:r>
      <w:r>
        <w:rPr>
          <w:sz w:val="24"/>
        </w:rPr>
        <w:t>the</w:t>
      </w:r>
      <w:r>
        <w:rPr>
          <w:spacing w:val="80"/>
          <w:sz w:val="24"/>
        </w:rPr>
        <w:t xml:space="preserve"> </w:t>
      </w:r>
      <w:r>
        <w:rPr>
          <w:sz w:val="24"/>
        </w:rPr>
        <w:t>pharmaceutical compound (gloves, aprons, towels, spill clean-up, etc.)</w:t>
      </w:r>
    </w:p>
    <w:p w14:paraId="326D5DF1" w14:textId="77777777" w:rsidR="0080310D" w:rsidRDefault="004830AF">
      <w:pPr>
        <w:pStyle w:val="ListParagraph"/>
        <w:numPr>
          <w:ilvl w:val="0"/>
          <w:numId w:val="3"/>
        </w:numPr>
        <w:tabs>
          <w:tab w:val="left" w:pos="1080"/>
        </w:tabs>
        <w:spacing w:before="273"/>
        <w:ind w:right="717"/>
        <w:rPr>
          <w:sz w:val="24"/>
        </w:rPr>
      </w:pPr>
      <w:r>
        <w:rPr>
          <w:sz w:val="24"/>
        </w:rPr>
        <w:t>Packaging</w:t>
      </w:r>
      <w:r>
        <w:rPr>
          <w:spacing w:val="-3"/>
          <w:sz w:val="24"/>
        </w:rPr>
        <w:t xml:space="preserve"> </w:t>
      </w:r>
      <w:r>
        <w:rPr>
          <w:sz w:val="24"/>
        </w:rPr>
        <w:t>and/or</w:t>
      </w:r>
      <w:r>
        <w:rPr>
          <w:spacing w:val="-2"/>
          <w:sz w:val="24"/>
        </w:rPr>
        <w:t xml:space="preserve"> </w:t>
      </w:r>
      <w:r>
        <w:rPr>
          <w:sz w:val="24"/>
        </w:rPr>
        <w:t>empty</w:t>
      </w:r>
      <w:r>
        <w:rPr>
          <w:spacing w:val="-4"/>
          <w:sz w:val="24"/>
        </w:rPr>
        <w:t xml:space="preserve"> </w:t>
      </w:r>
      <w:r>
        <w:rPr>
          <w:sz w:val="24"/>
        </w:rPr>
        <w:t>containers</w:t>
      </w:r>
      <w:r>
        <w:rPr>
          <w:spacing w:val="-4"/>
          <w:sz w:val="24"/>
        </w:rPr>
        <w:t xml:space="preserve"> </w:t>
      </w:r>
      <w:r>
        <w:rPr>
          <w:sz w:val="24"/>
        </w:rPr>
        <w:t>associated</w:t>
      </w:r>
      <w:r>
        <w:rPr>
          <w:spacing w:val="-1"/>
          <w:sz w:val="24"/>
        </w:rPr>
        <w:t xml:space="preserve"> </w:t>
      </w:r>
      <w:r>
        <w:rPr>
          <w:sz w:val="24"/>
        </w:rPr>
        <w:t>with</w:t>
      </w:r>
      <w:r>
        <w:rPr>
          <w:spacing w:val="-1"/>
          <w:sz w:val="24"/>
        </w:rPr>
        <w:t xml:space="preserve"> </w:t>
      </w:r>
      <w:hyperlink r:id="rId58">
        <w:r>
          <w:rPr>
            <w:color w:val="0000FF"/>
            <w:sz w:val="24"/>
            <w:u w:val="single" w:color="0000FF"/>
          </w:rPr>
          <w:t>P-listed</w:t>
        </w:r>
        <w:r>
          <w:rPr>
            <w:color w:val="0000FF"/>
            <w:spacing w:val="-1"/>
            <w:sz w:val="24"/>
            <w:u w:val="single" w:color="0000FF"/>
          </w:rPr>
          <w:t xml:space="preserve"> </w:t>
        </w:r>
        <w:r>
          <w:rPr>
            <w:color w:val="0000FF"/>
            <w:sz w:val="24"/>
            <w:u w:val="single" w:color="0000FF"/>
          </w:rPr>
          <w:t>chemicals</w:t>
        </w:r>
      </w:hyperlink>
      <w:r>
        <w:rPr>
          <w:color w:val="0000FF"/>
          <w:spacing w:val="-1"/>
          <w:sz w:val="24"/>
        </w:rPr>
        <w:t xml:space="preserve"> </w:t>
      </w:r>
      <w:r>
        <w:rPr>
          <w:sz w:val="24"/>
        </w:rPr>
        <w:t>and</w:t>
      </w:r>
      <w:r>
        <w:rPr>
          <w:spacing w:val="-3"/>
          <w:sz w:val="24"/>
        </w:rPr>
        <w:t xml:space="preserve"> </w:t>
      </w:r>
      <w:hyperlink r:id="rId59">
        <w:r>
          <w:rPr>
            <w:color w:val="0000FF"/>
            <w:sz w:val="24"/>
            <w:u w:val="single" w:color="0000FF"/>
          </w:rPr>
          <w:t>U-</w:t>
        </w:r>
      </w:hyperlink>
      <w:hyperlink r:id="rId60">
        <w:r>
          <w:rPr>
            <w:color w:val="0000FF"/>
            <w:sz w:val="24"/>
            <w:u w:val="single" w:color="0000FF"/>
          </w:rPr>
          <w:t>listed chemicals</w:t>
        </w:r>
      </w:hyperlink>
      <w:r>
        <w:rPr>
          <w:color w:val="0000FF"/>
          <w:sz w:val="24"/>
        </w:rPr>
        <w:t xml:space="preserve"> </w:t>
      </w:r>
      <w:r>
        <w:rPr>
          <w:sz w:val="24"/>
        </w:rPr>
        <w:t>(commonly used commercial chemicals)</w:t>
      </w:r>
    </w:p>
    <w:p w14:paraId="28B9C6FC" w14:textId="77777777" w:rsidR="0080310D" w:rsidRDefault="004830AF">
      <w:pPr>
        <w:pStyle w:val="ListParagraph"/>
        <w:numPr>
          <w:ilvl w:val="0"/>
          <w:numId w:val="3"/>
        </w:numPr>
        <w:tabs>
          <w:tab w:val="left" w:pos="1080"/>
        </w:tabs>
        <w:spacing w:before="274"/>
        <w:ind w:right="717"/>
        <w:rPr>
          <w:sz w:val="24"/>
        </w:rPr>
      </w:pPr>
      <w:r>
        <w:rPr>
          <w:sz w:val="24"/>
        </w:rPr>
        <w:t>Pharmaceuticals</w:t>
      </w:r>
      <w:r>
        <w:rPr>
          <w:spacing w:val="40"/>
          <w:sz w:val="24"/>
        </w:rPr>
        <w:t xml:space="preserve"> </w:t>
      </w:r>
      <w:r>
        <w:rPr>
          <w:sz w:val="24"/>
        </w:rPr>
        <w:t>that</w:t>
      </w:r>
      <w:r>
        <w:rPr>
          <w:spacing w:val="40"/>
          <w:sz w:val="24"/>
        </w:rPr>
        <w:t xml:space="preserve"> </w:t>
      </w:r>
      <w:r>
        <w:rPr>
          <w:sz w:val="24"/>
        </w:rPr>
        <w:t>contain</w:t>
      </w:r>
      <w:r>
        <w:rPr>
          <w:spacing w:val="40"/>
          <w:sz w:val="24"/>
        </w:rPr>
        <w:t xml:space="preserve"> </w:t>
      </w:r>
      <w:r>
        <w:rPr>
          <w:sz w:val="24"/>
        </w:rPr>
        <w:t>even</w:t>
      </w:r>
      <w:r>
        <w:rPr>
          <w:spacing w:val="40"/>
          <w:sz w:val="24"/>
        </w:rPr>
        <w:t xml:space="preserve"> </w:t>
      </w:r>
      <w:r>
        <w:rPr>
          <w:sz w:val="24"/>
        </w:rPr>
        <w:t>minute</w:t>
      </w:r>
      <w:r>
        <w:rPr>
          <w:spacing w:val="40"/>
          <w:sz w:val="24"/>
        </w:rPr>
        <w:t xml:space="preserve"> </w:t>
      </w:r>
      <w:r>
        <w:rPr>
          <w:sz w:val="24"/>
        </w:rPr>
        <w:t>amounts</w:t>
      </w:r>
      <w:r>
        <w:rPr>
          <w:spacing w:val="40"/>
          <w:sz w:val="24"/>
        </w:rPr>
        <w:t xml:space="preserve"> </w:t>
      </w:r>
      <w:r>
        <w:rPr>
          <w:sz w:val="24"/>
        </w:rPr>
        <w:t>of</w:t>
      </w:r>
      <w:r>
        <w:rPr>
          <w:spacing w:val="40"/>
          <w:sz w:val="24"/>
        </w:rPr>
        <w:t xml:space="preserve"> </w:t>
      </w:r>
      <w:r>
        <w:rPr>
          <w:sz w:val="24"/>
        </w:rPr>
        <w:t>EPA</w:t>
      </w:r>
      <w:r>
        <w:rPr>
          <w:spacing w:val="40"/>
          <w:sz w:val="24"/>
        </w:rPr>
        <w:t xml:space="preserve"> </w:t>
      </w:r>
      <w:r>
        <w:rPr>
          <w:sz w:val="24"/>
        </w:rPr>
        <w:t xml:space="preserve">Characteristic </w:t>
      </w:r>
      <w:r>
        <w:rPr>
          <w:spacing w:val="-2"/>
          <w:sz w:val="24"/>
        </w:rPr>
        <w:t>chemicals</w:t>
      </w:r>
    </w:p>
    <w:p w14:paraId="7A13829E" w14:textId="77777777" w:rsidR="0080310D" w:rsidRDefault="004830AF">
      <w:pPr>
        <w:pStyle w:val="BodyText"/>
        <w:spacing w:before="275"/>
        <w:ind w:left="719"/>
        <w:jc w:val="both"/>
      </w:pPr>
      <w:r>
        <w:t>The</w:t>
      </w:r>
      <w:r>
        <w:rPr>
          <w:spacing w:val="-6"/>
        </w:rPr>
        <w:t xml:space="preserve"> </w:t>
      </w:r>
      <w:r>
        <w:t>following</w:t>
      </w:r>
      <w:r>
        <w:rPr>
          <w:spacing w:val="-3"/>
        </w:rPr>
        <w:t xml:space="preserve"> </w:t>
      </w:r>
      <w:r>
        <w:t>are</w:t>
      </w:r>
      <w:r>
        <w:rPr>
          <w:spacing w:val="-1"/>
        </w:rPr>
        <w:t xml:space="preserve"> </w:t>
      </w:r>
      <w:r>
        <w:t>examples</w:t>
      </w:r>
      <w:r>
        <w:rPr>
          <w:spacing w:val="-4"/>
        </w:rPr>
        <w:t xml:space="preserve"> </w:t>
      </w:r>
      <w:r>
        <w:t>of</w:t>
      </w:r>
      <w:r>
        <w:rPr>
          <w:spacing w:val="1"/>
        </w:rPr>
        <w:t xml:space="preserve"> </w:t>
      </w:r>
      <w:r>
        <w:t>common</w:t>
      </w:r>
      <w:r>
        <w:rPr>
          <w:spacing w:val="-1"/>
        </w:rPr>
        <w:t xml:space="preserve"> </w:t>
      </w:r>
      <w:r>
        <w:t>Hazardous</w:t>
      </w:r>
      <w:r>
        <w:rPr>
          <w:spacing w:val="-9"/>
        </w:rPr>
        <w:t xml:space="preserve"> </w:t>
      </w:r>
      <w:r>
        <w:t>Waste</w:t>
      </w:r>
      <w:r>
        <w:rPr>
          <w:spacing w:val="-3"/>
        </w:rPr>
        <w:t xml:space="preserve"> </w:t>
      </w:r>
      <w:r>
        <w:rPr>
          <w:spacing w:val="-2"/>
        </w:rPr>
        <w:t>Pharmaceuticals.</w:t>
      </w:r>
    </w:p>
    <w:p w14:paraId="5986D5C4" w14:textId="77777777" w:rsidR="0080310D" w:rsidRDefault="004830AF">
      <w:pPr>
        <w:pStyle w:val="BodyText"/>
        <w:spacing w:before="276"/>
        <w:ind w:left="720" w:right="715"/>
        <w:jc w:val="both"/>
      </w:pPr>
      <w:r>
        <w:rPr>
          <w:i/>
        </w:rPr>
        <w:t>P-listed and U-listed Hazardous Waste Pharmaceuticals</w:t>
      </w:r>
      <w:r>
        <w:t>: P-listed and U-listed pharmaceuticals</w:t>
      </w:r>
      <w:r>
        <w:rPr>
          <w:spacing w:val="-3"/>
        </w:rPr>
        <w:t xml:space="preserve"> </w:t>
      </w:r>
      <w:r>
        <w:t>are both considered</w:t>
      </w:r>
      <w:r>
        <w:rPr>
          <w:spacing w:val="-3"/>
        </w:rPr>
        <w:t xml:space="preserve"> </w:t>
      </w:r>
      <w:r>
        <w:t>acutely</w:t>
      </w:r>
      <w:r>
        <w:rPr>
          <w:spacing w:val="-3"/>
        </w:rPr>
        <w:t xml:space="preserve"> </w:t>
      </w:r>
      <w:r>
        <w:t>hazardous</w:t>
      </w:r>
      <w:r>
        <w:rPr>
          <w:spacing w:val="-3"/>
        </w:rPr>
        <w:t xml:space="preserve"> </w:t>
      </w:r>
      <w:r>
        <w:t>by</w:t>
      </w:r>
      <w:r>
        <w:rPr>
          <w:spacing w:val="-3"/>
        </w:rPr>
        <w:t xml:space="preserve"> </w:t>
      </w:r>
      <w:r>
        <w:t>the</w:t>
      </w:r>
      <w:r>
        <w:rPr>
          <w:spacing w:val="-2"/>
        </w:rPr>
        <w:t xml:space="preserve"> </w:t>
      </w:r>
      <w:r>
        <w:t>EPA. Any</w:t>
      </w:r>
      <w:r>
        <w:rPr>
          <w:spacing w:val="-3"/>
        </w:rPr>
        <w:t xml:space="preserve"> </w:t>
      </w:r>
      <w:r>
        <w:t>unused portions of these materials, including unused dilutions or formulations, or wastes generated by spill clean-up or contamination by the original product, are considered hazardous waste.</w:t>
      </w:r>
    </w:p>
    <w:p w14:paraId="24C3AF79" w14:textId="77777777" w:rsidR="0080310D" w:rsidRDefault="004830AF">
      <w:pPr>
        <w:pStyle w:val="BodyText"/>
        <w:spacing w:before="276"/>
        <w:ind w:left="720" w:right="714"/>
        <w:jc w:val="both"/>
      </w:pPr>
      <w:r>
        <w:t>Packaging and/or empty containers associated with these items must either be collected as hazardous waste or triple-rinsed before being considered empty. P-listed rinsates must be collected as hazardous waste.</w:t>
      </w:r>
    </w:p>
    <w:p w14:paraId="022F84AF" w14:textId="77777777" w:rsidR="0080310D" w:rsidRDefault="0080310D">
      <w:pPr>
        <w:pStyle w:val="BodyText"/>
      </w:pPr>
    </w:p>
    <w:p w14:paraId="7401EB3D" w14:textId="77777777" w:rsidR="0080310D" w:rsidRDefault="004830AF">
      <w:pPr>
        <w:pStyle w:val="BodyText"/>
        <w:ind w:left="720" w:right="715"/>
        <w:jc w:val="both"/>
      </w:pPr>
      <w:r>
        <w:t>Pharmaceuticals that are non-controlled substances containing P-listed</w:t>
      </w:r>
      <w:r>
        <w:rPr>
          <w:spacing w:val="40"/>
        </w:rPr>
        <w:t xml:space="preserve"> </w:t>
      </w:r>
      <w:r>
        <w:t>chemicals</w:t>
      </w:r>
      <w:r>
        <w:rPr>
          <w:spacing w:val="-5"/>
        </w:rPr>
        <w:t xml:space="preserve"> </w:t>
      </w:r>
      <w:r>
        <w:t>include</w:t>
      </w:r>
      <w:r>
        <w:rPr>
          <w:spacing w:val="-4"/>
        </w:rPr>
        <w:t xml:space="preserve"> </w:t>
      </w:r>
      <w:r>
        <w:t>epinephrine,</w:t>
      </w:r>
      <w:r>
        <w:rPr>
          <w:spacing w:val="-4"/>
        </w:rPr>
        <w:t xml:space="preserve"> </w:t>
      </w:r>
      <w:r>
        <w:t>phentermine,</w:t>
      </w:r>
      <w:r>
        <w:rPr>
          <w:spacing w:val="-4"/>
        </w:rPr>
        <w:t xml:space="preserve"> </w:t>
      </w:r>
      <w:r>
        <w:t>nicotine</w:t>
      </w:r>
      <w:r>
        <w:rPr>
          <w:spacing w:val="-4"/>
        </w:rPr>
        <w:t xml:space="preserve"> </w:t>
      </w:r>
      <w:r>
        <w:t>and</w:t>
      </w:r>
      <w:r>
        <w:rPr>
          <w:spacing w:val="-4"/>
        </w:rPr>
        <w:t xml:space="preserve"> </w:t>
      </w:r>
      <w:r>
        <w:t>salts,</w:t>
      </w:r>
      <w:r>
        <w:rPr>
          <w:spacing w:val="-4"/>
        </w:rPr>
        <w:t xml:space="preserve"> </w:t>
      </w:r>
      <w:r>
        <w:t>nitroglycerin,</w:t>
      </w:r>
      <w:r>
        <w:rPr>
          <w:spacing w:val="-4"/>
        </w:rPr>
        <w:t xml:space="preserve"> </w:t>
      </w:r>
      <w:r>
        <w:t xml:space="preserve">and </w:t>
      </w:r>
      <w:r>
        <w:rPr>
          <w:spacing w:val="-2"/>
        </w:rPr>
        <w:t>physostygmine.</w:t>
      </w:r>
    </w:p>
    <w:p w14:paraId="08AA6FD0" w14:textId="77777777" w:rsidR="0080310D" w:rsidRDefault="0080310D">
      <w:pPr>
        <w:pStyle w:val="BodyText"/>
      </w:pPr>
    </w:p>
    <w:p w14:paraId="0D90314B" w14:textId="77777777" w:rsidR="0080310D" w:rsidRDefault="004830AF">
      <w:pPr>
        <w:pStyle w:val="BodyText"/>
        <w:ind w:left="720" w:right="713"/>
        <w:jc w:val="both"/>
      </w:pPr>
      <w:r>
        <w:rPr>
          <w:i/>
        </w:rPr>
        <w:t>Characteristic Hazardous Waste Pharmaceuticals</w:t>
      </w:r>
      <w:r>
        <w:t>: Pharmaceutical chemicals or formulations may also contain components which are regulated as characteristic waste. The presence of these components is often not clearly identified in labeling. EPA-regulated chemicals and pharmaceutical compounds may be present only as a very small component of the overall product makeup. The EPA regulates</w:t>
      </w:r>
      <w:r>
        <w:rPr>
          <w:spacing w:val="31"/>
        </w:rPr>
        <w:t xml:space="preserve"> </w:t>
      </w:r>
      <w:r>
        <w:t>Toxicity</w:t>
      </w:r>
      <w:r>
        <w:rPr>
          <w:spacing w:val="31"/>
        </w:rPr>
        <w:t xml:space="preserve"> </w:t>
      </w:r>
      <w:r>
        <w:t>Characteristic</w:t>
      </w:r>
      <w:r>
        <w:rPr>
          <w:spacing w:val="33"/>
        </w:rPr>
        <w:t xml:space="preserve"> </w:t>
      </w:r>
      <w:r>
        <w:t>chemicals</w:t>
      </w:r>
      <w:r>
        <w:rPr>
          <w:spacing w:val="31"/>
        </w:rPr>
        <w:t xml:space="preserve"> </w:t>
      </w:r>
      <w:r>
        <w:t>at</w:t>
      </w:r>
      <w:r>
        <w:rPr>
          <w:spacing w:val="34"/>
        </w:rPr>
        <w:t xml:space="preserve"> </w:t>
      </w:r>
      <w:r>
        <w:t>the</w:t>
      </w:r>
      <w:r>
        <w:rPr>
          <w:spacing w:val="34"/>
        </w:rPr>
        <w:t xml:space="preserve"> </w:t>
      </w:r>
      <w:r>
        <w:t>parts</w:t>
      </w:r>
      <w:r>
        <w:rPr>
          <w:spacing w:val="33"/>
        </w:rPr>
        <w:t xml:space="preserve"> </w:t>
      </w:r>
      <w:r>
        <w:t>per</w:t>
      </w:r>
      <w:r>
        <w:rPr>
          <w:spacing w:val="33"/>
        </w:rPr>
        <w:t xml:space="preserve"> </w:t>
      </w:r>
      <w:r>
        <w:t>million</w:t>
      </w:r>
      <w:r>
        <w:rPr>
          <w:spacing w:val="32"/>
        </w:rPr>
        <w:t xml:space="preserve"> </w:t>
      </w:r>
      <w:r>
        <w:t>(ppm)</w:t>
      </w:r>
      <w:r>
        <w:rPr>
          <w:spacing w:val="30"/>
        </w:rPr>
        <w:t xml:space="preserve"> </w:t>
      </w:r>
      <w:r>
        <w:t>level.</w:t>
      </w:r>
    </w:p>
    <w:p w14:paraId="6FBFBC98" w14:textId="77777777" w:rsidR="0080310D" w:rsidRDefault="0080310D">
      <w:pPr>
        <w:pStyle w:val="BodyText"/>
        <w:jc w:val="both"/>
        <w:sectPr w:rsidR="0080310D">
          <w:pgSz w:w="12240" w:h="15840"/>
          <w:pgMar w:top="1360" w:right="1080" w:bottom="1380" w:left="1080" w:header="0" w:footer="1100" w:gutter="0"/>
          <w:cols w:space="720"/>
        </w:sectPr>
      </w:pPr>
    </w:p>
    <w:p w14:paraId="29B315D2" w14:textId="77777777" w:rsidR="0080310D" w:rsidRDefault="004830AF">
      <w:pPr>
        <w:pStyle w:val="BodyText"/>
        <w:spacing w:before="80"/>
        <w:ind w:left="720" w:right="717"/>
        <w:jc w:val="both"/>
      </w:pPr>
      <w:r>
        <w:lastRenderedPageBreak/>
        <w:t>Knowledge and understanding of the entirety of product make-up is critical for safety and proper waste determination.</w:t>
      </w:r>
    </w:p>
    <w:p w14:paraId="5658E3D7" w14:textId="77777777" w:rsidR="0080310D" w:rsidRDefault="0080310D">
      <w:pPr>
        <w:pStyle w:val="BodyText"/>
      </w:pPr>
    </w:p>
    <w:p w14:paraId="2B29A50B" w14:textId="77777777" w:rsidR="0080310D" w:rsidRDefault="004830AF">
      <w:pPr>
        <w:pStyle w:val="BodyText"/>
        <w:ind w:left="720" w:right="715"/>
        <w:jc w:val="both"/>
      </w:pPr>
      <w:r>
        <w:t>Pharmaceuticals classified</w:t>
      </w:r>
      <w:r>
        <w:rPr>
          <w:spacing w:val="-1"/>
        </w:rPr>
        <w:t xml:space="preserve"> </w:t>
      </w:r>
      <w:r>
        <w:t>as characteristic hazardous waste</w:t>
      </w:r>
      <w:r>
        <w:rPr>
          <w:spacing w:val="-1"/>
        </w:rPr>
        <w:t xml:space="preserve"> </w:t>
      </w:r>
      <w:r>
        <w:t>by</w:t>
      </w:r>
      <w:r>
        <w:rPr>
          <w:spacing w:val="-2"/>
        </w:rPr>
        <w:t xml:space="preserve"> </w:t>
      </w:r>
      <w:r>
        <w:t>the</w:t>
      </w:r>
      <w:r>
        <w:rPr>
          <w:spacing w:val="-1"/>
        </w:rPr>
        <w:t xml:space="preserve"> </w:t>
      </w:r>
      <w:r>
        <w:t>EPA</w:t>
      </w:r>
      <w:r>
        <w:rPr>
          <w:spacing w:val="-1"/>
        </w:rPr>
        <w:t xml:space="preserve"> </w:t>
      </w:r>
      <w:r>
        <w:t>include insulin, barium sulfate, thimerosol, merthiolate, styptic pens, selenium sulfide,</w:t>
      </w:r>
      <w:r>
        <w:rPr>
          <w:spacing w:val="40"/>
        </w:rPr>
        <w:t xml:space="preserve"> </w:t>
      </w:r>
      <w:r>
        <w:t>and silvadene.</w:t>
      </w:r>
    </w:p>
    <w:p w14:paraId="77AD6D16" w14:textId="77777777" w:rsidR="0080310D" w:rsidRDefault="0080310D">
      <w:pPr>
        <w:pStyle w:val="BodyText"/>
      </w:pPr>
    </w:p>
    <w:p w14:paraId="533ED9E1" w14:textId="77777777" w:rsidR="0080310D" w:rsidRDefault="004830AF">
      <w:pPr>
        <w:pStyle w:val="BodyText"/>
        <w:ind w:left="720" w:right="713"/>
        <w:jc w:val="both"/>
      </w:pPr>
      <w:r>
        <w:rPr>
          <w:i/>
        </w:rPr>
        <w:t>Non-Regulated Prescription Pharmaceuticals (Non-Controlled Substances)</w:t>
      </w:r>
      <w:r>
        <w:t>:</w:t>
      </w:r>
      <w:r>
        <w:rPr>
          <w:spacing w:val="40"/>
        </w:rPr>
        <w:t xml:space="preserve"> </w:t>
      </w:r>
      <w:r>
        <w:t>Many other pharmaceutical compounds are not regulated as hazardous waste</w:t>
      </w:r>
      <w:r>
        <w:rPr>
          <w:spacing w:val="40"/>
        </w:rPr>
        <w:t xml:space="preserve"> </w:t>
      </w:r>
      <w:r>
        <w:t>but</w:t>
      </w:r>
      <w:r>
        <w:rPr>
          <w:spacing w:val="-1"/>
        </w:rPr>
        <w:t xml:space="preserve"> </w:t>
      </w:r>
      <w:r>
        <w:t>may</w:t>
      </w:r>
      <w:r>
        <w:rPr>
          <w:spacing w:val="-2"/>
        </w:rPr>
        <w:t xml:space="preserve"> </w:t>
      </w:r>
      <w:r>
        <w:t>pose a</w:t>
      </w:r>
      <w:r>
        <w:rPr>
          <w:spacing w:val="-1"/>
        </w:rPr>
        <w:t xml:space="preserve"> </w:t>
      </w:r>
      <w:r>
        <w:t>threat</w:t>
      </w:r>
      <w:r>
        <w:rPr>
          <w:spacing w:val="-2"/>
        </w:rPr>
        <w:t xml:space="preserve"> </w:t>
      </w:r>
      <w:r>
        <w:t>to human</w:t>
      </w:r>
      <w:r>
        <w:rPr>
          <w:spacing w:val="-1"/>
        </w:rPr>
        <w:t xml:space="preserve"> </w:t>
      </w:r>
      <w:r>
        <w:t>health or the</w:t>
      </w:r>
      <w:r>
        <w:rPr>
          <w:spacing w:val="-1"/>
        </w:rPr>
        <w:t xml:space="preserve"> </w:t>
      </w:r>
      <w:r>
        <w:t>environment and</w:t>
      </w:r>
      <w:r>
        <w:rPr>
          <w:spacing w:val="-1"/>
        </w:rPr>
        <w:t xml:space="preserve"> </w:t>
      </w:r>
      <w:r>
        <w:t>have</w:t>
      </w:r>
      <w:r>
        <w:rPr>
          <w:spacing w:val="-1"/>
        </w:rPr>
        <w:t xml:space="preserve"> </w:t>
      </w:r>
      <w:r>
        <w:t>the</w:t>
      </w:r>
      <w:r>
        <w:rPr>
          <w:spacing w:val="-1"/>
        </w:rPr>
        <w:t xml:space="preserve"> </w:t>
      </w:r>
      <w:r>
        <w:t>potential to be misused if not disposed of properly. All unusable prescription or non-prescription pharmaceuticals and pharmaceutical compounds used in research that are not classified as controlled substances should be disposed of through EHS as hazardous waste in order to prevent potential abuse.</w:t>
      </w:r>
    </w:p>
    <w:p w14:paraId="2D39745E" w14:textId="77777777" w:rsidR="0080310D" w:rsidRDefault="0080310D">
      <w:pPr>
        <w:pStyle w:val="BodyText"/>
      </w:pPr>
    </w:p>
    <w:p w14:paraId="1031F5A5" w14:textId="77777777" w:rsidR="0080310D" w:rsidRDefault="004830AF">
      <w:pPr>
        <w:pStyle w:val="BodyText"/>
        <w:spacing w:before="1"/>
        <w:ind w:left="719" w:right="715"/>
        <w:jc w:val="both"/>
      </w:pPr>
      <w:r>
        <w:t>If the products to be disposed of are other types of non-controlled pharmaceuticals, EHS can perform a hazardous waste pick-up. A waste pick-up request must be submitted through the Environmental Health and Safety Assistant (EHSA) Hazardous Materials Management system.</w:t>
      </w:r>
    </w:p>
    <w:p w14:paraId="67A976F5" w14:textId="77777777" w:rsidR="0080310D" w:rsidRDefault="004830AF">
      <w:pPr>
        <w:pStyle w:val="BodyText"/>
        <w:spacing w:before="276"/>
        <w:ind w:left="719" w:right="712"/>
        <w:jc w:val="both"/>
      </w:pPr>
      <w:r>
        <w:t>NOTE:</w:t>
      </w:r>
      <w:r>
        <w:rPr>
          <w:spacing w:val="-7"/>
        </w:rPr>
        <w:t xml:space="preserve"> </w:t>
      </w:r>
      <w:r>
        <w:t>This</w:t>
      </w:r>
      <w:r>
        <w:rPr>
          <w:spacing w:val="-3"/>
        </w:rPr>
        <w:t xml:space="preserve"> </w:t>
      </w:r>
      <w:r>
        <w:t>short</w:t>
      </w:r>
      <w:r>
        <w:rPr>
          <w:spacing w:val="-2"/>
        </w:rPr>
        <w:t xml:space="preserve"> </w:t>
      </w:r>
      <w:r>
        <w:t>list</w:t>
      </w:r>
      <w:r>
        <w:rPr>
          <w:spacing w:val="-2"/>
        </w:rPr>
        <w:t xml:space="preserve"> </w:t>
      </w:r>
      <w:r>
        <w:t>of hazardous</w:t>
      </w:r>
      <w:r>
        <w:rPr>
          <w:spacing w:val="-3"/>
        </w:rPr>
        <w:t xml:space="preserve"> </w:t>
      </w:r>
      <w:r>
        <w:t>waste</w:t>
      </w:r>
      <w:r>
        <w:rPr>
          <w:spacing w:val="-2"/>
        </w:rPr>
        <w:t xml:space="preserve"> </w:t>
      </w:r>
      <w:r>
        <w:t>pharmaceuticals</w:t>
      </w:r>
      <w:r>
        <w:rPr>
          <w:spacing w:val="-3"/>
        </w:rPr>
        <w:t xml:space="preserve"> </w:t>
      </w:r>
      <w:r>
        <w:t>is</w:t>
      </w:r>
      <w:r>
        <w:rPr>
          <w:spacing w:val="-3"/>
        </w:rPr>
        <w:t xml:space="preserve"> </w:t>
      </w:r>
      <w:r>
        <w:t>intended</w:t>
      </w:r>
      <w:r>
        <w:rPr>
          <w:spacing w:val="-2"/>
        </w:rPr>
        <w:t xml:space="preserve"> </w:t>
      </w:r>
      <w:r>
        <w:t>to</w:t>
      </w:r>
      <w:r>
        <w:rPr>
          <w:spacing w:val="-2"/>
        </w:rPr>
        <w:t xml:space="preserve"> </w:t>
      </w:r>
      <w:r>
        <w:t>highlight common examples of EPA-regulated chemicals and pharmaceutical compounds used in research and treatment of disease, and is by no means exhaustive.</w:t>
      </w:r>
      <w:r>
        <w:rPr>
          <w:spacing w:val="74"/>
        </w:rPr>
        <w:t xml:space="preserve"> </w:t>
      </w:r>
      <w:r>
        <w:t>For</w:t>
      </w:r>
      <w:r>
        <w:rPr>
          <w:spacing w:val="40"/>
        </w:rPr>
        <w:t xml:space="preserve"> </w:t>
      </w:r>
      <w:r>
        <w:t>a</w:t>
      </w:r>
      <w:r>
        <w:rPr>
          <w:spacing w:val="-2"/>
        </w:rPr>
        <w:t xml:space="preserve"> </w:t>
      </w:r>
      <w:r>
        <w:t>more</w:t>
      </w:r>
      <w:r>
        <w:rPr>
          <w:spacing w:val="-2"/>
        </w:rPr>
        <w:t xml:space="preserve"> </w:t>
      </w:r>
      <w:r>
        <w:t>comprehensive</w:t>
      </w:r>
      <w:r>
        <w:rPr>
          <w:spacing w:val="-2"/>
        </w:rPr>
        <w:t xml:space="preserve"> </w:t>
      </w:r>
      <w:r>
        <w:t>method</w:t>
      </w:r>
      <w:r>
        <w:rPr>
          <w:spacing w:val="-4"/>
        </w:rPr>
        <w:t xml:space="preserve"> </w:t>
      </w:r>
      <w:r>
        <w:t>of identifying</w:t>
      </w:r>
      <w:r>
        <w:rPr>
          <w:spacing w:val="-2"/>
        </w:rPr>
        <w:t xml:space="preserve"> </w:t>
      </w:r>
      <w:r>
        <w:t>all</w:t>
      </w:r>
      <w:r>
        <w:rPr>
          <w:spacing w:val="-3"/>
        </w:rPr>
        <w:t xml:space="preserve"> </w:t>
      </w:r>
      <w:r>
        <w:t>potential</w:t>
      </w:r>
      <w:r>
        <w:rPr>
          <w:spacing w:val="-3"/>
        </w:rPr>
        <w:t xml:space="preserve"> </w:t>
      </w:r>
      <w:r>
        <w:t>hazardous</w:t>
      </w:r>
      <w:r>
        <w:rPr>
          <w:spacing w:val="-5"/>
        </w:rPr>
        <w:t xml:space="preserve"> </w:t>
      </w:r>
      <w:r>
        <w:t>wastes,</w:t>
      </w:r>
      <w:r>
        <w:rPr>
          <w:spacing w:val="-2"/>
        </w:rPr>
        <w:t xml:space="preserve"> </w:t>
      </w:r>
      <w:r>
        <w:t>refer to the EHS Hazardous Waste website.</w:t>
      </w:r>
    </w:p>
    <w:p w14:paraId="6B4581CC" w14:textId="77777777" w:rsidR="0080310D" w:rsidRDefault="0080310D">
      <w:pPr>
        <w:pStyle w:val="BodyText"/>
      </w:pPr>
    </w:p>
    <w:p w14:paraId="6491656B" w14:textId="77777777" w:rsidR="0080310D" w:rsidRDefault="004830AF">
      <w:pPr>
        <w:pStyle w:val="Heading1"/>
        <w:numPr>
          <w:ilvl w:val="0"/>
          <w:numId w:val="6"/>
        </w:numPr>
        <w:tabs>
          <w:tab w:val="left" w:pos="1438"/>
        </w:tabs>
        <w:ind w:left="1438" w:hanging="359"/>
      </w:pPr>
      <w:bookmarkStart w:id="15" w:name="15._INSPECTIONS"/>
      <w:bookmarkEnd w:id="15"/>
      <w:r>
        <w:rPr>
          <w:spacing w:val="-2"/>
        </w:rPr>
        <w:t>INSPECTIONS</w:t>
      </w:r>
    </w:p>
    <w:p w14:paraId="38ECB2E2" w14:textId="77777777" w:rsidR="0080310D" w:rsidRDefault="0080310D">
      <w:pPr>
        <w:pStyle w:val="BodyText"/>
        <w:rPr>
          <w:b/>
        </w:rPr>
      </w:pPr>
    </w:p>
    <w:p w14:paraId="6B9748FD" w14:textId="77777777" w:rsidR="0080310D" w:rsidRDefault="004830AF">
      <w:pPr>
        <w:pStyle w:val="Heading2"/>
        <w:ind w:left="719"/>
      </w:pPr>
      <w:r>
        <w:t>Registrant</w:t>
      </w:r>
      <w:r>
        <w:rPr>
          <w:spacing w:val="-5"/>
        </w:rPr>
        <w:t xml:space="preserve"> </w:t>
      </w:r>
      <w:r>
        <w:rPr>
          <w:spacing w:val="-2"/>
        </w:rPr>
        <w:t>Inspections</w:t>
      </w:r>
    </w:p>
    <w:p w14:paraId="25D7F74A" w14:textId="77777777" w:rsidR="0080310D" w:rsidRDefault="0080310D">
      <w:pPr>
        <w:pStyle w:val="BodyText"/>
        <w:rPr>
          <w:b/>
        </w:rPr>
      </w:pPr>
    </w:p>
    <w:p w14:paraId="6936A294" w14:textId="77777777" w:rsidR="0080310D" w:rsidRDefault="004830AF">
      <w:pPr>
        <w:pStyle w:val="BodyText"/>
        <w:ind w:left="719" w:right="717"/>
        <w:jc w:val="both"/>
      </w:pPr>
      <w:r>
        <w:t xml:space="preserve">Registrants are encouraged to perform a Controlled Substance Inspection Self-Audit, using the </w:t>
      </w:r>
      <w:hyperlink r:id="rId61">
        <w:r>
          <w:rPr>
            <w:color w:val="0000FF"/>
            <w:u w:val="single" w:color="0000FF"/>
          </w:rPr>
          <w:t>EHS_SOP350_FORM005</w:t>
        </w:r>
      </w:hyperlink>
      <w:r>
        <w:rPr>
          <w:color w:val="0000FF"/>
        </w:rPr>
        <w:t xml:space="preserve"> </w:t>
      </w:r>
      <w:r>
        <w:t>Inspection Audit Checklist.</w:t>
      </w:r>
    </w:p>
    <w:p w14:paraId="7007F9A7" w14:textId="77777777" w:rsidR="0080310D" w:rsidRDefault="0080310D">
      <w:pPr>
        <w:pStyle w:val="BodyText"/>
      </w:pPr>
    </w:p>
    <w:p w14:paraId="7D017F77" w14:textId="77777777" w:rsidR="0080310D" w:rsidRDefault="004830AF">
      <w:pPr>
        <w:pStyle w:val="Heading2"/>
      </w:pPr>
      <w:r>
        <w:t>UCF</w:t>
      </w:r>
      <w:r>
        <w:rPr>
          <w:spacing w:val="-2"/>
        </w:rPr>
        <w:t xml:space="preserve"> Inspections</w:t>
      </w:r>
    </w:p>
    <w:p w14:paraId="3D83E58D" w14:textId="77777777" w:rsidR="0080310D" w:rsidRDefault="0080310D">
      <w:pPr>
        <w:pStyle w:val="BodyText"/>
        <w:rPr>
          <w:b/>
        </w:rPr>
      </w:pPr>
    </w:p>
    <w:p w14:paraId="080A2CAA" w14:textId="77777777" w:rsidR="0080310D" w:rsidRDefault="004830AF">
      <w:pPr>
        <w:pStyle w:val="BodyText"/>
        <w:ind w:left="720" w:right="715"/>
        <w:jc w:val="both"/>
      </w:pPr>
      <w:r>
        <w:t>EHS will conduct annual inspections to assist with controlled substances</w:t>
      </w:r>
      <w:r>
        <w:rPr>
          <w:spacing w:val="40"/>
        </w:rPr>
        <w:t xml:space="preserve"> </w:t>
      </w:r>
      <w:r>
        <w:t>handling procedures and to ensure university compliance with DEA regulations. All records and controlled substances must be immediately available for review.</w:t>
      </w:r>
    </w:p>
    <w:p w14:paraId="09603274" w14:textId="77777777" w:rsidR="0080310D" w:rsidRDefault="0080310D">
      <w:pPr>
        <w:pStyle w:val="BodyText"/>
      </w:pPr>
    </w:p>
    <w:p w14:paraId="4A7C4490" w14:textId="77777777" w:rsidR="0080310D" w:rsidRDefault="004830AF">
      <w:pPr>
        <w:pStyle w:val="BodyText"/>
        <w:spacing w:line="275" w:lineRule="exact"/>
        <w:ind w:left="720"/>
        <w:jc w:val="both"/>
      </w:pPr>
      <w:r>
        <w:t>At</w:t>
      </w:r>
      <w:r>
        <w:rPr>
          <w:spacing w:val="-4"/>
        </w:rPr>
        <w:t xml:space="preserve"> </w:t>
      </w:r>
      <w:r>
        <w:t>the</w:t>
      </w:r>
      <w:r>
        <w:rPr>
          <w:spacing w:val="-1"/>
        </w:rPr>
        <w:t xml:space="preserve"> </w:t>
      </w:r>
      <w:r>
        <w:t>time</w:t>
      </w:r>
      <w:r>
        <w:rPr>
          <w:spacing w:val="-3"/>
        </w:rPr>
        <w:t xml:space="preserve"> </w:t>
      </w:r>
      <w:r>
        <w:t>of</w:t>
      </w:r>
      <w:r>
        <w:rPr>
          <w:spacing w:val="1"/>
        </w:rPr>
        <w:t xml:space="preserve"> </w:t>
      </w:r>
      <w:r>
        <w:t>inspection</w:t>
      </w:r>
      <w:r>
        <w:rPr>
          <w:spacing w:val="-1"/>
        </w:rPr>
        <w:t xml:space="preserve"> </w:t>
      </w:r>
      <w:r>
        <w:t>by</w:t>
      </w:r>
      <w:r>
        <w:rPr>
          <w:spacing w:val="-4"/>
        </w:rPr>
        <w:t xml:space="preserve"> </w:t>
      </w:r>
      <w:r>
        <w:t>EHS,</w:t>
      </w:r>
      <w:r>
        <w:rPr>
          <w:spacing w:val="-1"/>
        </w:rPr>
        <w:t xml:space="preserve"> </w:t>
      </w:r>
      <w:r>
        <w:t>the</w:t>
      </w:r>
      <w:r>
        <w:rPr>
          <w:spacing w:val="-3"/>
        </w:rPr>
        <w:t xml:space="preserve"> </w:t>
      </w:r>
      <w:r>
        <w:t>following</w:t>
      </w:r>
      <w:r>
        <w:rPr>
          <w:spacing w:val="-3"/>
        </w:rPr>
        <w:t xml:space="preserve"> </w:t>
      </w:r>
      <w:r>
        <w:t>are</w:t>
      </w:r>
      <w:r>
        <w:rPr>
          <w:spacing w:val="-1"/>
        </w:rPr>
        <w:t xml:space="preserve"> </w:t>
      </w:r>
      <w:r>
        <w:t>subject</w:t>
      </w:r>
      <w:r>
        <w:rPr>
          <w:spacing w:val="-4"/>
        </w:rPr>
        <w:t xml:space="preserve"> </w:t>
      </w:r>
      <w:r>
        <w:t>to</w:t>
      </w:r>
      <w:r>
        <w:rPr>
          <w:spacing w:val="-2"/>
        </w:rPr>
        <w:t xml:space="preserve"> evaluation:</w:t>
      </w:r>
    </w:p>
    <w:p w14:paraId="1C5F198A" w14:textId="77777777" w:rsidR="0080310D" w:rsidRDefault="004830AF">
      <w:pPr>
        <w:pStyle w:val="ListParagraph"/>
        <w:numPr>
          <w:ilvl w:val="0"/>
          <w:numId w:val="3"/>
        </w:numPr>
        <w:tabs>
          <w:tab w:val="left" w:pos="1079"/>
        </w:tabs>
        <w:spacing w:line="293" w:lineRule="exact"/>
        <w:ind w:left="1079" w:hanging="359"/>
        <w:rPr>
          <w:sz w:val="24"/>
        </w:rPr>
      </w:pPr>
      <w:r>
        <w:rPr>
          <w:sz w:val="24"/>
        </w:rPr>
        <w:t>Proper</w:t>
      </w:r>
      <w:r>
        <w:rPr>
          <w:spacing w:val="-4"/>
          <w:sz w:val="24"/>
        </w:rPr>
        <w:t xml:space="preserve"> </w:t>
      </w:r>
      <w:r>
        <w:rPr>
          <w:sz w:val="24"/>
        </w:rPr>
        <w:t>licensing</w:t>
      </w:r>
      <w:r>
        <w:rPr>
          <w:spacing w:val="-3"/>
          <w:sz w:val="24"/>
        </w:rPr>
        <w:t xml:space="preserve"> </w:t>
      </w:r>
      <w:r>
        <w:rPr>
          <w:sz w:val="24"/>
        </w:rPr>
        <w:t>obtained</w:t>
      </w:r>
      <w:r>
        <w:rPr>
          <w:spacing w:val="-1"/>
          <w:sz w:val="24"/>
        </w:rPr>
        <w:t xml:space="preserve"> </w:t>
      </w:r>
      <w:r>
        <w:rPr>
          <w:sz w:val="24"/>
        </w:rPr>
        <w:t>by</w:t>
      </w:r>
      <w:r>
        <w:rPr>
          <w:spacing w:val="-4"/>
          <w:sz w:val="24"/>
        </w:rPr>
        <w:t xml:space="preserve"> </w:t>
      </w:r>
      <w:r>
        <w:rPr>
          <w:spacing w:val="-2"/>
          <w:sz w:val="24"/>
        </w:rPr>
        <w:t>researchers.</w:t>
      </w:r>
    </w:p>
    <w:p w14:paraId="076372B7" w14:textId="77777777" w:rsidR="0080310D" w:rsidRDefault="004830AF">
      <w:pPr>
        <w:pStyle w:val="ListParagraph"/>
        <w:numPr>
          <w:ilvl w:val="0"/>
          <w:numId w:val="3"/>
        </w:numPr>
        <w:tabs>
          <w:tab w:val="left" w:pos="1079"/>
        </w:tabs>
        <w:spacing w:before="275"/>
        <w:ind w:left="1079" w:hanging="359"/>
        <w:rPr>
          <w:sz w:val="24"/>
        </w:rPr>
      </w:pPr>
      <w:r>
        <w:rPr>
          <w:sz w:val="24"/>
        </w:rPr>
        <w:t>Proper</w:t>
      </w:r>
      <w:r>
        <w:rPr>
          <w:spacing w:val="-4"/>
          <w:sz w:val="24"/>
        </w:rPr>
        <w:t xml:space="preserve"> </w:t>
      </w:r>
      <w:r>
        <w:rPr>
          <w:sz w:val="24"/>
        </w:rPr>
        <w:t>storage</w:t>
      </w:r>
      <w:r>
        <w:rPr>
          <w:spacing w:val="-3"/>
          <w:sz w:val="24"/>
        </w:rPr>
        <w:t xml:space="preserve"> </w:t>
      </w:r>
      <w:r>
        <w:rPr>
          <w:sz w:val="24"/>
        </w:rPr>
        <w:t>and</w:t>
      </w:r>
      <w:r>
        <w:rPr>
          <w:spacing w:val="-2"/>
          <w:sz w:val="24"/>
        </w:rPr>
        <w:t xml:space="preserve"> </w:t>
      </w:r>
      <w:r>
        <w:rPr>
          <w:sz w:val="24"/>
        </w:rPr>
        <w:t>security</w:t>
      </w:r>
      <w:r>
        <w:rPr>
          <w:spacing w:val="-4"/>
          <w:sz w:val="24"/>
        </w:rPr>
        <w:t xml:space="preserve"> </w:t>
      </w:r>
      <w:r>
        <w:rPr>
          <w:spacing w:val="-2"/>
          <w:sz w:val="24"/>
        </w:rPr>
        <w:t>arrangements.</w:t>
      </w:r>
    </w:p>
    <w:p w14:paraId="0D349712" w14:textId="77777777" w:rsidR="0080310D" w:rsidRDefault="004830AF">
      <w:pPr>
        <w:pStyle w:val="ListParagraph"/>
        <w:numPr>
          <w:ilvl w:val="0"/>
          <w:numId w:val="3"/>
        </w:numPr>
        <w:tabs>
          <w:tab w:val="left" w:pos="1079"/>
        </w:tabs>
        <w:spacing w:before="275"/>
        <w:ind w:left="1079" w:hanging="359"/>
        <w:rPr>
          <w:sz w:val="24"/>
        </w:rPr>
      </w:pPr>
      <w:r>
        <w:rPr>
          <w:sz w:val="24"/>
        </w:rPr>
        <w:t>Accuracy,</w:t>
      </w:r>
      <w:r>
        <w:rPr>
          <w:spacing w:val="-4"/>
          <w:sz w:val="24"/>
        </w:rPr>
        <w:t xml:space="preserve"> </w:t>
      </w:r>
      <w:r>
        <w:rPr>
          <w:sz w:val="24"/>
        </w:rPr>
        <w:t>completeness,</w:t>
      </w:r>
      <w:r>
        <w:rPr>
          <w:spacing w:val="-2"/>
          <w:sz w:val="24"/>
        </w:rPr>
        <w:t xml:space="preserve"> </w:t>
      </w:r>
      <w:r>
        <w:rPr>
          <w:sz w:val="24"/>
        </w:rPr>
        <w:t>and</w:t>
      </w:r>
      <w:r>
        <w:rPr>
          <w:spacing w:val="-2"/>
          <w:sz w:val="24"/>
        </w:rPr>
        <w:t xml:space="preserve"> </w:t>
      </w:r>
      <w:r>
        <w:rPr>
          <w:sz w:val="24"/>
        </w:rPr>
        <w:t>timeliness</w:t>
      </w:r>
      <w:r>
        <w:rPr>
          <w:spacing w:val="-4"/>
          <w:sz w:val="24"/>
        </w:rPr>
        <w:t xml:space="preserve"> </w:t>
      </w:r>
      <w:r>
        <w:rPr>
          <w:sz w:val="24"/>
        </w:rPr>
        <w:t>of</w:t>
      </w:r>
      <w:r>
        <w:rPr>
          <w:spacing w:val="-2"/>
          <w:sz w:val="24"/>
        </w:rPr>
        <w:t xml:space="preserve"> </w:t>
      </w:r>
      <w:r>
        <w:rPr>
          <w:sz w:val="24"/>
        </w:rPr>
        <w:t>all</w:t>
      </w:r>
      <w:r>
        <w:rPr>
          <w:spacing w:val="-3"/>
          <w:sz w:val="24"/>
        </w:rPr>
        <w:t xml:space="preserve"> </w:t>
      </w:r>
      <w:r>
        <w:rPr>
          <w:sz w:val="24"/>
        </w:rPr>
        <w:t>records</w:t>
      </w:r>
      <w:r>
        <w:rPr>
          <w:spacing w:val="-3"/>
          <w:sz w:val="24"/>
        </w:rPr>
        <w:t xml:space="preserve"> </w:t>
      </w:r>
      <w:r>
        <w:rPr>
          <w:sz w:val="24"/>
        </w:rPr>
        <w:t>and</w:t>
      </w:r>
      <w:r>
        <w:rPr>
          <w:spacing w:val="-1"/>
          <w:sz w:val="24"/>
        </w:rPr>
        <w:t xml:space="preserve"> </w:t>
      </w:r>
      <w:r>
        <w:rPr>
          <w:spacing w:val="-2"/>
          <w:sz w:val="24"/>
        </w:rPr>
        <w:t>inventories.</w:t>
      </w:r>
    </w:p>
    <w:p w14:paraId="3594570B" w14:textId="77777777" w:rsidR="0080310D" w:rsidRDefault="0080310D">
      <w:pPr>
        <w:pStyle w:val="ListParagraph"/>
        <w:rPr>
          <w:sz w:val="24"/>
        </w:rPr>
        <w:sectPr w:rsidR="0080310D">
          <w:pgSz w:w="12240" w:h="15840"/>
          <w:pgMar w:top="1360" w:right="1080" w:bottom="1300" w:left="1080" w:header="0" w:footer="1100" w:gutter="0"/>
          <w:cols w:space="720"/>
        </w:sectPr>
      </w:pPr>
    </w:p>
    <w:p w14:paraId="16DC221B" w14:textId="77777777" w:rsidR="0080310D" w:rsidRDefault="004830AF">
      <w:pPr>
        <w:pStyle w:val="ListParagraph"/>
        <w:numPr>
          <w:ilvl w:val="0"/>
          <w:numId w:val="3"/>
        </w:numPr>
        <w:tabs>
          <w:tab w:val="left" w:pos="1079"/>
        </w:tabs>
        <w:spacing w:before="81"/>
        <w:ind w:left="1079" w:hanging="359"/>
        <w:rPr>
          <w:sz w:val="24"/>
        </w:rPr>
      </w:pPr>
      <w:r>
        <w:rPr>
          <w:sz w:val="24"/>
        </w:rPr>
        <w:lastRenderedPageBreak/>
        <w:t>Correction</w:t>
      </w:r>
      <w:r>
        <w:rPr>
          <w:spacing w:val="-5"/>
          <w:sz w:val="24"/>
        </w:rPr>
        <w:t xml:space="preserve"> </w:t>
      </w:r>
      <w:r>
        <w:rPr>
          <w:sz w:val="24"/>
        </w:rPr>
        <w:t>of</w:t>
      </w:r>
      <w:r>
        <w:rPr>
          <w:spacing w:val="-2"/>
          <w:sz w:val="24"/>
        </w:rPr>
        <w:t xml:space="preserve"> </w:t>
      </w:r>
      <w:r>
        <w:rPr>
          <w:sz w:val="24"/>
        </w:rPr>
        <w:t>deficiencies</w:t>
      </w:r>
      <w:r>
        <w:rPr>
          <w:spacing w:val="-6"/>
          <w:sz w:val="24"/>
        </w:rPr>
        <w:t xml:space="preserve"> </w:t>
      </w:r>
      <w:r>
        <w:rPr>
          <w:sz w:val="24"/>
        </w:rPr>
        <w:t>found</w:t>
      </w:r>
      <w:r>
        <w:rPr>
          <w:spacing w:val="-4"/>
          <w:sz w:val="24"/>
        </w:rPr>
        <w:t xml:space="preserve"> </w:t>
      </w:r>
      <w:r>
        <w:rPr>
          <w:sz w:val="24"/>
        </w:rPr>
        <w:t>during</w:t>
      </w:r>
      <w:r>
        <w:rPr>
          <w:spacing w:val="-4"/>
          <w:sz w:val="24"/>
        </w:rPr>
        <w:t xml:space="preserve"> </w:t>
      </w:r>
      <w:r>
        <w:rPr>
          <w:sz w:val="24"/>
        </w:rPr>
        <w:t>previous</w:t>
      </w:r>
      <w:r>
        <w:rPr>
          <w:spacing w:val="-3"/>
          <w:sz w:val="24"/>
        </w:rPr>
        <w:t xml:space="preserve"> </w:t>
      </w:r>
      <w:r>
        <w:rPr>
          <w:spacing w:val="-2"/>
          <w:sz w:val="24"/>
        </w:rPr>
        <w:t>inspections.</w:t>
      </w:r>
    </w:p>
    <w:p w14:paraId="161528DF" w14:textId="77777777" w:rsidR="0080310D" w:rsidRDefault="004830AF">
      <w:pPr>
        <w:pStyle w:val="ListParagraph"/>
        <w:numPr>
          <w:ilvl w:val="0"/>
          <w:numId w:val="3"/>
        </w:numPr>
        <w:tabs>
          <w:tab w:val="left" w:pos="1079"/>
        </w:tabs>
        <w:spacing w:before="272"/>
        <w:ind w:left="1079"/>
        <w:rPr>
          <w:sz w:val="24"/>
        </w:rPr>
      </w:pPr>
      <w:r>
        <w:rPr>
          <w:sz w:val="24"/>
        </w:rPr>
        <w:t>Procedures</w:t>
      </w:r>
      <w:r>
        <w:rPr>
          <w:spacing w:val="-4"/>
          <w:sz w:val="24"/>
        </w:rPr>
        <w:t xml:space="preserve"> </w:t>
      </w:r>
      <w:r>
        <w:rPr>
          <w:sz w:val="24"/>
        </w:rPr>
        <w:t>for</w:t>
      </w:r>
      <w:r>
        <w:rPr>
          <w:spacing w:val="-5"/>
          <w:sz w:val="24"/>
        </w:rPr>
        <w:t xml:space="preserve"> </w:t>
      </w:r>
      <w:r>
        <w:rPr>
          <w:sz w:val="24"/>
        </w:rPr>
        <w:t>use</w:t>
      </w:r>
      <w:r>
        <w:rPr>
          <w:spacing w:val="-3"/>
          <w:sz w:val="24"/>
        </w:rPr>
        <w:t xml:space="preserve"> </w:t>
      </w:r>
      <w:r>
        <w:rPr>
          <w:sz w:val="24"/>
        </w:rPr>
        <w:t>and</w:t>
      </w:r>
      <w:r>
        <w:rPr>
          <w:spacing w:val="-1"/>
          <w:sz w:val="24"/>
        </w:rPr>
        <w:t xml:space="preserve"> </w:t>
      </w:r>
      <w:r>
        <w:rPr>
          <w:sz w:val="24"/>
        </w:rPr>
        <w:t>disposal</w:t>
      </w:r>
      <w:r>
        <w:rPr>
          <w:spacing w:val="-2"/>
          <w:sz w:val="24"/>
        </w:rPr>
        <w:t xml:space="preserve"> </w:t>
      </w:r>
      <w:r>
        <w:rPr>
          <w:sz w:val="24"/>
        </w:rPr>
        <w:t>of</w:t>
      </w:r>
      <w:r>
        <w:rPr>
          <w:spacing w:val="-1"/>
          <w:sz w:val="24"/>
        </w:rPr>
        <w:t xml:space="preserve"> </w:t>
      </w:r>
      <w:r>
        <w:rPr>
          <w:sz w:val="24"/>
        </w:rPr>
        <w:t>controlled</w:t>
      </w:r>
      <w:r>
        <w:rPr>
          <w:spacing w:val="-3"/>
          <w:sz w:val="24"/>
        </w:rPr>
        <w:t xml:space="preserve"> </w:t>
      </w:r>
      <w:r>
        <w:rPr>
          <w:spacing w:val="-2"/>
          <w:sz w:val="24"/>
        </w:rPr>
        <w:t>substances.</w:t>
      </w:r>
    </w:p>
    <w:p w14:paraId="44CDBC4B" w14:textId="384B966D" w:rsidR="0080310D" w:rsidRDefault="004830AF">
      <w:pPr>
        <w:pStyle w:val="BodyText"/>
        <w:spacing w:before="274"/>
        <w:ind w:left="719" w:right="713"/>
        <w:jc w:val="both"/>
      </w:pPr>
      <w:r>
        <w:t xml:space="preserve">If major discrepancies are found, EHS will re-inspect the area immediately, in accordance with </w:t>
      </w:r>
      <w:hyperlink r:id="rId62">
        <w:r>
          <w:rPr>
            <w:color w:val="0000FF"/>
            <w:u w:val="single" w:color="0000FF"/>
          </w:rPr>
          <w:t>UCF Policy 3-122</w:t>
        </w:r>
      </w:hyperlink>
      <w:r>
        <w:t>. The registrant must correct all other discrepancies found within 30 days of the initial inspection</w:t>
      </w:r>
      <w:r>
        <w:rPr>
          <w:color w:val="0000FF"/>
        </w:rPr>
        <w:t xml:space="preserve">. </w:t>
      </w:r>
      <w:r>
        <w:t xml:space="preserve">Any suspected potential for criminal activity will be reported to the </w:t>
      </w:r>
      <w:r w:rsidR="00031C47">
        <w:t xml:space="preserve">DEA and </w:t>
      </w:r>
      <w:r>
        <w:t>UCF Police Department.</w:t>
      </w:r>
    </w:p>
    <w:p w14:paraId="23BD5573" w14:textId="77777777" w:rsidR="0080310D" w:rsidRDefault="0080310D">
      <w:pPr>
        <w:pStyle w:val="BodyText"/>
      </w:pPr>
    </w:p>
    <w:p w14:paraId="3183EC34" w14:textId="77777777" w:rsidR="0080310D" w:rsidRDefault="004830AF">
      <w:pPr>
        <w:pStyle w:val="Heading2"/>
      </w:pPr>
      <w:r>
        <w:t>Drug</w:t>
      </w:r>
      <w:r>
        <w:rPr>
          <w:spacing w:val="-8"/>
        </w:rPr>
        <w:t xml:space="preserve"> </w:t>
      </w:r>
      <w:r>
        <w:t>Enforcement</w:t>
      </w:r>
      <w:r>
        <w:rPr>
          <w:spacing w:val="-4"/>
        </w:rPr>
        <w:t xml:space="preserve"> </w:t>
      </w:r>
      <w:r>
        <w:t>Administration</w:t>
      </w:r>
      <w:r>
        <w:rPr>
          <w:spacing w:val="-5"/>
        </w:rPr>
        <w:t xml:space="preserve"> </w:t>
      </w:r>
      <w:r>
        <w:t>(DEA)</w:t>
      </w:r>
      <w:r>
        <w:rPr>
          <w:spacing w:val="-6"/>
        </w:rPr>
        <w:t xml:space="preserve"> </w:t>
      </w:r>
      <w:r>
        <w:rPr>
          <w:spacing w:val="-2"/>
        </w:rPr>
        <w:t>Inspections</w:t>
      </w:r>
    </w:p>
    <w:p w14:paraId="2D094F0C" w14:textId="77777777" w:rsidR="0080310D" w:rsidRDefault="0080310D">
      <w:pPr>
        <w:pStyle w:val="BodyText"/>
        <w:rPr>
          <w:b/>
        </w:rPr>
      </w:pPr>
    </w:p>
    <w:p w14:paraId="592A5620" w14:textId="77777777" w:rsidR="0080310D" w:rsidRDefault="004830AF">
      <w:pPr>
        <w:pStyle w:val="BodyText"/>
        <w:spacing w:before="1"/>
        <w:ind w:left="719" w:right="715"/>
        <w:jc w:val="both"/>
      </w:pPr>
      <w:r>
        <w:t xml:space="preserve">The DEA makes periodic unannounced inspections to audit registered controlled substances storage locations and laboratories to determine if the registrant is compliant with the </w:t>
      </w:r>
      <w:hyperlink r:id="rId63">
        <w:r>
          <w:rPr>
            <w:color w:val="0000FF"/>
            <w:u w:val="single" w:color="0000FF"/>
          </w:rPr>
          <w:t>Controlled Substances Act</w:t>
        </w:r>
      </w:hyperlink>
      <w:r>
        <w:t>. PIs or authorized agents are required to be in attendance and provide the DEA Inspectors with all credentials, records, storage arrangements, and logs upon request.</w:t>
      </w:r>
    </w:p>
    <w:p w14:paraId="4836F080" w14:textId="77777777" w:rsidR="0080310D" w:rsidRDefault="004830AF">
      <w:pPr>
        <w:pStyle w:val="BodyText"/>
        <w:spacing w:before="276"/>
        <w:ind w:left="720" w:right="711"/>
        <w:jc w:val="both"/>
      </w:pPr>
      <w:r>
        <w:t>DEA Inspectors may send advance notice of an inspection to EHS, and in turn EHS will inform all registrants.</w:t>
      </w:r>
      <w:r>
        <w:rPr>
          <w:spacing w:val="40"/>
        </w:rPr>
        <w:t xml:space="preserve"> </w:t>
      </w:r>
      <w:r>
        <w:t>All PIs or authorized agents must be present, as the DEA</w:t>
      </w:r>
      <w:r>
        <w:rPr>
          <w:spacing w:val="-2"/>
        </w:rPr>
        <w:t xml:space="preserve"> </w:t>
      </w:r>
      <w:r>
        <w:t>does</w:t>
      </w:r>
      <w:r>
        <w:rPr>
          <w:spacing w:val="-3"/>
        </w:rPr>
        <w:t xml:space="preserve"> </w:t>
      </w:r>
      <w:r>
        <w:t>not inform the</w:t>
      </w:r>
      <w:r>
        <w:rPr>
          <w:spacing w:val="-2"/>
        </w:rPr>
        <w:t xml:space="preserve"> </w:t>
      </w:r>
      <w:r>
        <w:t>university</w:t>
      </w:r>
      <w:r>
        <w:rPr>
          <w:spacing w:val="-3"/>
        </w:rPr>
        <w:t xml:space="preserve"> </w:t>
      </w:r>
      <w:r>
        <w:t>which registrant(s)</w:t>
      </w:r>
      <w:r>
        <w:rPr>
          <w:spacing w:val="-1"/>
        </w:rPr>
        <w:t xml:space="preserve"> </w:t>
      </w:r>
      <w:r>
        <w:t>will</w:t>
      </w:r>
      <w:r>
        <w:rPr>
          <w:spacing w:val="-1"/>
        </w:rPr>
        <w:t xml:space="preserve"> </w:t>
      </w:r>
      <w:r>
        <w:t>be inspected.</w:t>
      </w:r>
      <w:r>
        <w:rPr>
          <w:spacing w:val="-2"/>
        </w:rPr>
        <w:t xml:space="preserve"> </w:t>
      </w:r>
      <w:r>
        <w:t>If the PI refuses to take part in the inspection, the inspectors will get a court order (within hours) to proceed. An inspection conducted under a court order will be stricter and may be adversarial.</w:t>
      </w:r>
    </w:p>
    <w:p w14:paraId="7EB54765" w14:textId="77777777" w:rsidR="0080310D" w:rsidRDefault="0080310D">
      <w:pPr>
        <w:pStyle w:val="BodyText"/>
      </w:pPr>
    </w:p>
    <w:p w14:paraId="0B80F949" w14:textId="77777777" w:rsidR="0080310D" w:rsidRDefault="004830AF">
      <w:pPr>
        <w:pStyle w:val="BodyText"/>
        <w:ind w:left="720" w:right="714"/>
        <w:jc w:val="both"/>
      </w:pPr>
      <w:r>
        <w:t>The DEA may assess criminal penalties for non-compliance violations that may result in fines, suspension of registration, and prison sentences.</w:t>
      </w:r>
    </w:p>
    <w:p w14:paraId="6DE82847" w14:textId="77777777" w:rsidR="0080310D" w:rsidRDefault="0080310D">
      <w:pPr>
        <w:pStyle w:val="BodyText"/>
      </w:pPr>
    </w:p>
    <w:p w14:paraId="7E5E25EC" w14:textId="77777777" w:rsidR="0080310D" w:rsidRDefault="004830AF">
      <w:pPr>
        <w:pStyle w:val="Heading2"/>
      </w:pPr>
      <w:r>
        <w:t>Florida</w:t>
      </w:r>
      <w:r>
        <w:rPr>
          <w:spacing w:val="-5"/>
        </w:rPr>
        <w:t xml:space="preserve"> </w:t>
      </w:r>
      <w:r>
        <w:t>Department</w:t>
      </w:r>
      <w:r>
        <w:rPr>
          <w:spacing w:val="-4"/>
        </w:rPr>
        <w:t xml:space="preserve"> </w:t>
      </w:r>
      <w:r>
        <w:t>of</w:t>
      </w:r>
      <w:r>
        <w:rPr>
          <w:spacing w:val="-5"/>
        </w:rPr>
        <w:t xml:space="preserve"> </w:t>
      </w:r>
      <w:r>
        <w:t>Business</w:t>
      </w:r>
      <w:r>
        <w:rPr>
          <w:spacing w:val="-4"/>
        </w:rPr>
        <w:t xml:space="preserve"> </w:t>
      </w:r>
      <w:r>
        <w:t>and</w:t>
      </w:r>
      <w:r>
        <w:rPr>
          <w:spacing w:val="-3"/>
        </w:rPr>
        <w:t xml:space="preserve"> </w:t>
      </w:r>
      <w:r>
        <w:t>Professional</w:t>
      </w:r>
      <w:r>
        <w:rPr>
          <w:spacing w:val="-5"/>
        </w:rPr>
        <w:t xml:space="preserve"> </w:t>
      </w:r>
      <w:r>
        <w:rPr>
          <w:spacing w:val="-2"/>
        </w:rPr>
        <w:t>Regulations</w:t>
      </w:r>
    </w:p>
    <w:p w14:paraId="7CE1D1EE" w14:textId="77777777" w:rsidR="0080310D" w:rsidRDefault="0080310D">
      <w:pPr>
        <w:pStyle w:val="BodyText"/>
        <w:rPr>
          <w:b/>
        </w:rPr>
      </w:pPr>
    </w:p>
    <w:p w14:paraId="7E3F99C2" w14:textId="77777777" w:rsidR="0080310D" w:rsidRDefault="004830AF">
      <w:pPr>
        <w:pStyle w:val="BodyText"/>
        <w:ind w:left="720" w:right="714"/>
        <w:jc w:val="both"/>
      </w:pPr>
      <w:r>
        <w:t xml:space="preserve">The Florida Department of Business and Professional Regulation can perform inspections for PIs who have been granted exemption for the use of controlled substances, analytical standards, medical gases, prescription or legend drugs. The PIs must still follow all </w:t>
      </w:r>
      <w:hyperlink r:id="rId64">
        <w:r>
          <w:rPr>
            <w:color w:val="0000FF"/>
            <w:u w:val="single" w:color="0000FF"/>
          </w:rPr>
          <w:t>Florida Statutes</w:t>
        </w:r>
      </w:hyperlink>
      <w:r>
        <w:rPr>
          <w:color w:val="0000FF"/>
        </w:rPr>
        <w:t xml:space="preserve"> </w:t>
      </w:r>
      <w:r>
        <w:t>and regulations for storage, use, record keeping, and disposal of prescription drugs.</w:t>
      </w:r>
    </w:p>
    <w:p w14:paraId="04F2E13F" w14:textId="2DA0450B" w:rsidR="00B472B2" w:rsidRDefault="00B472B2" w:rsidP="00B472B2">
      <w:pPr>
        <w:pStyle w:val="Heading1"/>
        <w:tabs>
          <w:tab w:val="left" w:pos="1481"/>
        </w:tabs>
      </w:pPr>
      <w:bookmarkStart w:id="16" w:name="16._RECORDKEEPING"/>
      <w:bookmarkEnd w:id="16"/>
    </w:p>
    <w:p w14:paraId="7885763C" w14:textId="77777777" w:rsidR="00CB4A66" w:rsidRPr="00B472B2" w:rsidRDefault="00CB4A66" w:rsidP="00B472B2">
      <w:pPr>
        <w:pStyle w:val="Heading1"/>
        <w:tabs>
          <w:tab w:val="left" w:pos="1481"/>
        </w:tabs>
      </w:pPr>
    </w:p>
    <w:p w14:paraId="4FD538C2" w14:textId="5CCBCA8D" w:rsidR="00D85532" w:rsidRDefault="00B472B2" w:rsidP="00D85532">
      <w:pPr>
        <w:pStyle w:val="Heading1"/>
        <w:numPr>
          <w:ilvl w:val="0"/>
          <w:numId w:val="6"/>
        </w:numPr>
        <w:tabs>
          <w:tab w:val="left" w:pos="1481"/>
        </w:tabs>
        <w:ind w:left="1481" w:hanging="401"/>
      </w:pPr>
      <w:r>
        <w:t>SUSPICIOUS ORDERS REPORT SYSTEM (SORS</w:t>
      </w:r>
      <w:r w:rsidR="00D85532">
        <w:t>)</w:t>
      </w:r>
    </w:p>
    <w:p w14:paraId="442BC65B" w14:textId="77777777" w:rsidR="00696032" w:rsidRDefault="00696032" w:rsidP="00D85532">
      <w:pPr>
        <w:pStyle w:val="NormalWeb"/>
        <w:spacing w:before="0" w:beforeAutospacing="0" w:after="150" w:afterAutospacing="0"/>
        <w:ind w:left="720"/>
        <w:rPr>
          <w:rFonts w:ascii="Arial" w:hAnsi="Arial" w:cs="Arial"/>
          <w:color w:val="000000"/>
          <w:sz w:val="24"/>
          <w:szCs w:val="24"/>
        </w:rPr>
      </w:pPr>
    </w:p>
    <w:p w14:paraId="185773AA" w14:textId="0FA83CA9" w:rsidR="00D85532" w:rsidRPr="00D85532" w:rsidRDefault="00D85532" w:rsidP="00D85532">
      <w:pPr>
        <w:pStyle w:val="NormalWeb"/>
        <w:spacing w:before="0" w:beforeAutospacing="0" w:after="150" w:afterAutospacing="0"/>
        <w:ind w:left="720"/>
        <w:rPr>
          <w:rFonts w:ascii="Arial" w:hAnsi="Arial" w:cs="Arial"/>
          <w:color w:val="000000"/>
          <w:sz w:val="24"/>
          <w:szCs w:val="24"/>
        </w:rPr>
      </w:pPr>
      <w:r w:rsidRPr="00D85532">
        <w:rPr>
          <w:rFonts w:ascii="Arial" w:hAnsi="Arial" w:cs="Arial"/>
          <w:color w:val="000000"/>
          <w:sz w:val="24"/>
          <w:szCs w:val="24"/>
        </w:rPr>
        <w:t>On October 23, 2019, DEA launched the Suspicious Orders Report System (SORS) Online, a new centralized database required by the Substance Use-Disorder Prevention that Promotes Opioid Recovery and Treatment for Patients and Communities Act (</w:t>
      </w:r>
      <w:r w:rsidRPr="00D85532">
        <w:rPr>
          <w:rStyle w:val="Strong"/>
          <w:rFonts w:ascii="Arial" w:hAnsi="Arial" w:cs="Arial"/>
          <w:color w:val="000000"/>
          <w:sz w:val="24"/>
          <w:szCs w:val="24"/>
        </w:rPr>
        <w:t>SUPPORT Act, Pub. L. 115-271</w:t>
      </w:r>
      <w:r w:rsidRPr="00D85532">
        <w:rPr>
          <w:rFonts w:ascii="Arial" w:hAnsi="Arial" w:cs="Arial"/>
          <w:color w:val="000000"/>
          <w:sz w:val="24"/>
          <w:szCs w:val="24"/>
        </w:rPr>
        <w:t xml:space="preserve">). Reporting a suspicious order to the centralized database established by DEA (SORS Online) constitutes compliance with the reporting requirement under </w:t>
      </w:r>
      <w:hyperlink r:id="rId65" w:tgtFrame="_blank" w:history="1">
        <w:r w:rsidRPr="00D85532">
          <w:rPr>
            <w:rStyle w:val="Hyperlink"/>
            <w:rFonts w:ascii="Arial" w:hAnsi="Arial" w:cs="Arial"/>
            <w:color w:val="135D58"/>
            <w:sz w:val="24"/>
            <w:szCs w:val="24"/>
          </w:rPr>
          <w:t>21 U.S.C. 832</w:t>
        </w:r>
      </w:hyperlink>
      <w:r w:rsidRPr="00D85532">
        <w:rPr>
          <w:rFonts w:ascii="Arial" w:hAnsi="Arial" w:cs="Arial"/>
          <w:color w:val="000000"/>
          <w:sz w:val="24"/>
          <w:szCs w:val="24"/>
        </w:rPr>
        <w:t xml:space="preserve">(a)(3). All registrants who distribute controlled substances (within the meaning of </w:t>
      </w:r>
      <w:hyperlink r:id="rId66" w:tgtFrame="_blank" w:history="1">
        <w:r w:rsidRPr="00D85532">
          <w:rPr>
            <w:rStyle w:val="Hyperlink"/>
            <w:rFonts w:ascii="Arial" w:hAnsi="Arial" w:cs="Arial"/>
            <w:color w:val="135D58"/>
            <w:sz w:val="24"/>
            <w:szCs w:val="24"/>
          </w:rPr>
          <w:t>21 U.S.C. 802</w:t>
        </w:r>
      </w:hyperlink>
      <w:r w:rsidRPr="00D85532">
        <w:rPr>
          <w:rFonts w:ascii="Arial" w:hAnsi="Arial" w:cs="Arial"/>
          <w:color w:val="000000"/>
          <w:sz w:val="24"/>
          <w:szCs w:val="24"/>
        </w:rPr>
        <w:t xml:space="preserve">(11)) are required to design and </w:t>
      </w:r>
      <w:r w:rsidRPr="00D85532">
        <w:rPr>
          <w:rFonts w:ascii="Arial" w:hAnsi="Arial" w:cs="Arial"/>
          <w:color w:val="000000"/>
          <w:sz w:val="24"/>
          <w:szCs w:val="24"/>
        </w:rPr>
        <w:lastRenderedPageBreak/>
        <w:t xml:space="preserve">operate a system to identify suspicious orders and notify DEA of suspicious orders. 21 U.S.C. 832(a). This obligation applies to all registrants </w:t>
      </w:r>
      <w:r w:rsidRPr="00D85532">
        <w:rPr>
          <w:rStyle w:val="Emphasis"/>
          <w:rFonts w:ascii="Arial" w:hAnsi="Arial" w:cs="Arial"/>
          <w:b/>
          <w:bCs/>
          <w:color w:val="000000"/>
          <w:sz w:val="24"/>
          <w:szCs w:val="24"/>
          <w:u w:val="single"/>
        </w:rPr>
        <w:t>if they distribute controlled substances</w:t>
      </w:r>
      <w:r w:rsidRPr="00D85532">
        <w:rPr>
          <w:rStyle w:val="Emphasis"/>
          <w:rFonts w:ascii="Arial" w:hAnsi="Arial" w:cs="Arial"/>
          <w:b/>
          <w:bCs/>
          <w:color w:val="000000"/>
          <w:sz w:val="24"/>
          <w:szCs w:val="24"/>
        </w:rPr>
        <w:t>,</w:t>
      </w:r>
      <w:r w:rsidRPr="00D85532">
        <w:rPr>
          <w:rFonts w:ascii="Arial" w:hAnsi="Arial" w:cs="Arial"/>
          <w:color w:val="000000"/>
          <w:sz w:val="24"/>
          <w:szCs w:val="24"/>
        </w:rPr>
        <w:t xml:space="preserve"> including the following:</w:t>
      </w:r>
    </w:p>
    <w:p w14:paraId="6DFCF667"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Distributor</w:t>
      </w:r>
    </w:p>
    <w:p w14:paraId="1C85CFB9"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Manufacturer</w:t>
      </w:r>
    </w:p>
    <w:p w14:paraId="547E9AE3"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Importer</w:t>
      </w:r>
    </w:p>
    <w:p w14:paraId="1808D687"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Pharmacy</w:t>
      </w:r>
    </w:p>
    <w:p w14:paraId="261AA747"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Hospital/Clinic</w:t>
      </w:r>
    </w:p>
    <w:p w14:paraId="6790050A"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Teaching Institution</w:t>
      </w:r>
    </w:p>
    <w:p w14:paraId="1B1E3DF5"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Practitioner</w:t>
      </w:r>
    </w:p>
    <w:p w14:paraId="723B9400"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Mid-Level Practitioner</w:t>
      </w:r>
    </w:p>
    <w:p w14:paraId="72A9C673"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Mid-Level Practitioner-Ambulance Service</w:t>
      </w:r>
    </w:p>
    <w:p w14:paraId="762F0CC1"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Researcher</w:t>
      </w:r>
    </w:p>
    <w:p w14:paraId="0609465F"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Analytical Lab</w:t>
      </w:r>
    </w:p>
    <w:p w14:paraId="2CDD6089" w14:textId="77777777" w:rsidR="00D85532" w:rsidRPr="00D85532" w:rsidRDefault="00D85532" w:rsidP="00D85532">
      <w:pPr>
        <w:widowControl/>
        <w:numPr>
          <w:ilvl w:val="0"/>
          <w:numId w:val="7"/>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Narcotic Treatment Program (NTP)</w:t>
      </w:r>
    </w:p>
    <w:p w14:paraId="5507F71F" w14:textId="77777777" w:rsidR="00CB4A66" w:rsidRDefault="00CB4A66" w:rsidP="00D85532">
      <w:pPr>
        <w:pStyle w:val="NormalWeb"/>
        <w:spacing w:before="0" w:beforeAutospacing="0" w:after="150" w:afterAutospacing="0"/>
        <w:ind w:left="720"/>
        <w:rPr>
          <w:rFonts w:ascii="Arial" w:hAnsi="Arial" w:cs="Arial"/>
          <w:color w:val="000000"/>
          <w:sz w:val="24"/>
          <w:szCs w:val="24"/>
        </w:rPr>
      </w:pPr>
    </w:p>
    <w:p w14:paraId="43CD402F" w14:textId="60A92BF3" w:rsidR="00D85532" w:rsidRPr="00D85532" w:rsidRDefault="00D85532" w:rsidP="00D85532">
      <w:pPr>
        <w:pStyle w:val="NormalWeb"/>
        <w:spacing w:before="0" w:beforeAutospacing="0" w:after="150" w:afterAutospacing="0"/>
        <w:ind w:left="720"/>
        <w:rPr>
          <w:rFonts w:ascii="Arial" w:hAnsi="Arial" w:cs="Arial"/>
          <w:color w:val="000000"/>
          <w:sz w:val="24"/>
          <w:szCs w:val="24"/>
        </w:rPr>
      </w:pPr>
      <w:r w:rsidRPr="00D85532">
        <w:rPr>
          <w:rFonts w:ascii="Arial" w:hAnsi="Arial" w:cs="Arial"/>
          <w:color w:val="000000"/>
          <w:sz w:val="24"/>
          <w:szCs w:val="24"/>
        </w:rPr>
        <w:t xml:space="preserve">The SUPPORT Act states the term “suspicious order” may include, but is not limited to: an order of a controlled substance of unusual size; an order of a controlled substance deviating substantially from a normal pattern, and; orders of controlled substances of unusual frequency. Reporting SORS to the Administrator of the DEA and the Special Agent in Charge of the Division Office of the DEA for the area in which the registrant is located or conducts business local DEA Field Office and DEA Headquarters, or to DEA’s centralized database, satisfies the requirement to report such orders to the Administrator of the DEA and the Special Agent in Charge of the Division Office of the DEA for the area in which the registrant is located or conducts business. </w:t>
      </w:r>
      <w:hyperlink r:id="rId67" w:tgtFrame="_blank" w:history="1">
        <w:r w:rsidRPr="00D85532">
          <w:rPr>
            <w:rStyle w:val="Hyperlink"/>
            <w:rFonts w:ascii="Arial" w:hAnsi="Arial" w:cs="Arial"/>
            <w:color w:val="135D58"/>
            <w:sz w:val="24"/>
            <w:szCs w:val="24"/>
          </w:rPr>
          <w:t>21 U.S.C. 832</w:t>
        </w:r>
      </w:hyperlink>
      <w:r w:rsidRPr="00D85532">
        <w:rPr>
          <w:rFonts w:ascii="Arial" w:hAnsi="Arial" w:cs="Arial"/>
          <w:color w:val="000000"/>
          <w:sz w:val="24"/>
          <w:szCs w:val="24"/>
        </w:rPr>
        <w:t>.</w:t>
      </w:r>
    </w:p>
    <w:p w14:paraId="342431CD" w14:textId="77777777" w:rsidR="00D85532" w:rsidRPr="00D85532" w:rsidRDefault="00D85532" w:rsidP="00D85532">
      <w:pPr>
        <w:pStyle w:val="NormalWeb"/>
        <w:spacing w:before="0" w:beforeAutospacing="0" w:after="150" w:afterAutospacing="0"/>
        <w:ind w:left="720"/>
        <w:rPr>
          <w:rFonts w:ascii="Arial" w:hAnsi="Arial" w:cs="Arial"/>
          <w:color w:val="000000"/>
          <w:sz w:val="24"/>
          <w:szCs w:val="24"/>
        </w:rPr>
      </w:pPr>
      <w:r w:rsidRPr="00D85532">
        <w:rPr>
          <w:rFonts w:ascii="Arial" w:hAnsi="Arial" w:cs="Arial"/>
          <w:color w:val="000000"/>
          <w:sz w:val="24"/>
          <w:szCs w:val="24"/>
        </w:rPr>
        <w:t>DEA registrants that are ARCOS Online and ARCOS EDI reporters should utilize their current ARCOS log on information to access the system. DEA registrants that are not currently ARCOS reporters may register on the website in order to report SORS to DEA’s centralized database. The registration process is as follows:</w:t>
      </w:r>
    </w:p>
    <w:p w14:paraId="6B97606F" w14:textId="77777777" w:rsidR="00D85532" w:rsidRPr="00D85532" w:rsidRDefault="00D85532" w:rsidP="00D85532">
      <w:pPr>
        <w:widowControl/>
        <w:numPr>
          <w:ilvl w:val="0"/>
          <w:numId w:val="8"/>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 xml:space="preserve">Go to </w:t>
      </w:r>
      <w:hyperlink r:id="rId68" w:tgtFrame="_blank" w:history="1">
        <w:r w:rsidRPr="00D85532">
          <w:rPr>
            <w:rStyle w:val="Hyperlink"/>
            <w:rFonts w:eastAsia="Times New Roman"/>
            <w:color w:val="135D58"/>
            <w:sz w:val="24"/>
            <w:szCs w:val="24"/>
          </w:rPr>
          <w:t>https://apps2.deadiversion.usdoj.gov/arcos-online</w:t>
        </w:r>
      </w:hyperlink>
      <w:r w:rsidRPr="00D85532">
        <w:rPr>
          <w:rFonts w:eastAsia="Times New Roman"/>
          <w:color w:val="000000"/>
          <w:sz w:val="24"/>
          <w:szCs w:val="24"/>
        </w:rPr>
        <w:t xml:space="preserve"> and click on “</w:t>
      </w:r>
      <w:r w:rsidRPr="00D85532">
        <w:rPr>
          <w:rStyle w:val="Strong"/>
          <w:rFonts w:eastAsia="Times New Roman"/>
          <w:color w:val="000000"/>
          <w:sz w:val="24"/>
          <w:szCs w:val="24"/>
        </w:rPr>
        <w:t>SORS Registration (for Non-ARCOS Reporters)</w:t>
      </w:r>
      <w:r w:rsidRPr="00D85532">
        <w:rPr>
          <w:rFonts w:eastAsia="Times New Roman"/>
          <w:color w:val="000000"/>
          <w:sz w:val="24"/>
          <w:szCs w:val="24"/>
        </w:rPr>
        <w:t>” hyperlink.</w:t>
      </w:r>
    </w:p>
    <w:p w14:paraId="295B6FCC" w14:textId="77777777" w:rsidR="00D85532" w:rsidRPr="00D85532" w:rsidRDefault="00D85532" w:rsidP="00D85532">
      <w:pPr>
        <w:widowControl/>
        <w:numPr>
          <w:ilvl w:val="0"/>
          <w:numId w:val="8"/>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After completing the initial registration, a confirmation e-mail will be sent to the e-mail address provided.</w:t>
      </w:r>
    </w:p>
    <w:p w14:paraId="33DCA71F" w14:textId="77777777" w:rsidR="00D85532" w:rsidRPr="00D85532" w:rsidRDefault="00D85532" w:rsidP="00D85532">
      <w:pPr>
        <w:widowControl/>
        <w:numPr>
          <w:ilvl w:val="0"/>
          <w:numId w:val="8"/>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Once DEA approves the registration, another e-mail will be sent with a temporary password.</w:t>
      </w:r>
    </w:p>
    <w:p w14:paraId="33042B13" w14:textId="77777777" w:rsidR="00D85532" w:rsidRPr="00D85532" w:rsidRDefault="00D85532" w:rsidP="00D85532">
      <w:pPr>
        <w:widowControl/>
        <w:numPr>
          <w:ilvl w:val="0"/>
          <w:numId w:val="8"/>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t xml:space="preserve">Go to </w:t>
      </w:r>
      <w:hyperlink r:id="rId69" w:tgtFrame="_blank" w:history="1">
        <w:r w:rsidRPr="00D85532">
          <w:rPr>
            <w:rStyle w:val="Hyperlink"/>
            <w:rFonts w:eastAsia="Times New Roman"/>
            <w:color w:val="135D58"/>
            <w:sz w:val="24"/>
            <w:szCs w:val="24"/>
          </w:rPr>
          <w:t>https://apps2.deadiversion.usdoj.gov/arcos-online</w:t>
        </w:r>
      </w:hyperlink>
      <w:r w:rsidRPr="00D85532">
        <w:rPr>
          <w:rFonts w:eastAsia="Times New Roman"/>
          <w:color w:val="000000"/>
          <w:sz w:val="24"/>
          <w:szCs w:val="24"/>
        </w:rPr>
        <w:t xml:space="preserve"> and type in your username and the temporary password. The system will require you to change the temporary password.</w:t>
      </w:r>
    </w:p>
    <w:p w14:paraId="41F55770" w14:textId="77777777" w:rsidR="00D85532" w:rsidRPr="00D85532" w:rsidRDefault="00D85532" w:rsidP="00D85532">
      <w:pPr>
        <w:widowControl/>
        <w:numPr>
          <w:ilvl w:val="0"/>
          <w:numId w:val="8"/>
        </w:numPr>
        <w:tabs>
          <w:tab w:val="clear" w:pos="720"/>
          <w:tab w:val="num" w:pos="1440"/>
        </w:tabs>
        <w:autoSpaceDE/>
        <w:autoSpaceDN/>
        <w:spacing w:after="105"/>
        <w:ind w:left="1440"/>
        <w:rPr>
          <w:rFonts w:eastAsia="Times New Roman"/>
          <w:color w:val="000000"/>
          <w:sz w:val="24"/>
          <w:szCs w:val="24"/>
        </w:rPr>
      </w:pPr>
      <w:r w:rsidRPr="00D85532">
        <w:rPr>
          <w:rFonts w:eastAsia="Times New Roman"/>
          <w:color w:val="000000"/>
          <w:sz w:val="24"/>
          <w:szCs w:val="24"/>
        </w:rPr>
        <w:lastRenderedPageBreak/>
        <w:t>Upon successfully changing the password, the account will be fully registered to report to the SORS Online system.</w:t>
      </w:r>
    </w:p>
    <w:p w14:paraId="165B63BA" w14:textId="7FEFE334" w:rsidR="00D85532" w:rsidRDefault="00D85532" w:rsidP="00D85532">
      <w:pPr>
        <w:pStyle w:val="Heading1"/>
        <w:tabs>
          <w:tab w:val="left" w:pos="1481"/>
        </w:tabs>
        <w:ind w:left="2201" w:firstLine="0"/>
        <w:rPr>
          <w:rStyle w:val="Strong"/>
          <w:color w:val="000000"/>
        </w:rPr>
      </w:pPr>
      <w:r w:rsidRPr="00D85532">
        <w:rPr>
          <w:rStyle w:val="Strong"/>
          <w:color w:val="000000"/>
        </w:rPr>
        <w:t xml:space="preserve">For more information, contact </w:t>
      </w:r>
      <w:hyperlink r:id="rId70" w:tgtFrame="_blank" w:history="1">
        <w:r w:rsidRPr="00D85532">
          <w:rPr>
            <w:rStyle w:val="Hyperlink"/>
            <w:b w:val="0"/>
            <w:bCs w:val="0"/>
            <w:color w:val="135D58"/>
          </w:rPr>
          <w:t>SORS@dea.gov</w:t>
        </w:r>
      </w:hyperlink>
    </w:p>
    <w:p w14:paraId="30EC4850" w14:textId="739EF9CE" w:rsidR="00D85532" w:rsidRDefault="00D85532" w:rsidP="00D85532">
      <w:pPr>
        <w:pStyle w:val="Heading1"/>
        <w:tabs>
          <w:tab w:val="left" w:pos="1481"/>
        </w:tabs>
        <w:ind w:left="2201" w:firstLine="0"/>
        <w:rPr>
          <w:rStyle w:val="Strong"/>
          <w:color w:val="000000"/>
        </w:rPr>
      </w:pPr>
    </w:p>
    <w:p w14:paraId="34E23E63" w14:textId="77777777" w:rsidR="00D85532" w:rsidRPr="00D85532" w:rsidRDefault="00D85532" w:rsidP="00D85532">
      <w:pPr>
        <w:pStyle w:val="Heading1"/>
        <w:tabs>
          <w:tab w:val="left" w:pos="1481"/>
        </w:tabs>
        <w:ind w:left="2201" w:firstLine="0"/>
      </w:pPr>
    </w:p>
    <w:p w14:paraId="612263C8" w14:textId="77777777" w:rsidR="00D85532" w:rsidRPr="00B472B2" w:rsidRDefault="00D85532" w:rsidP="00D85532">
      <w:pPr>
        <w:pStyle w:val="Heading1"/>
        <w:tabs>
          <w:tab w:val="left" w:pos="1481"/>
        </w:tabs>
        <w:ind w:left="1481" w:firstLine="0"/>
      </w:pPr>
    </w:p>
    <w:p w14:paraId="7247983B" w14:textId="74B7E6D4" w:rsidR="0080310D" w:rsidRDefault="004830AF">
      <w:pPr>
        <w:pStyle w:val="Heading1"/>
        <w:numPr>
          <w:ilvl w:val="0"/>
          <w:numId w:val="6"/>
        </w:numPr>
        <w:tabs>
          <w:tab w:val="left" w:pos="1481"/>
        </w:tabs>
        <w:ind w:left="1481" w:hanging="401"/>
      </w:pPr>
      <w:r>
        <w:rPr>
          <w:spacing w:val="-2"/>
        </w:rPr>
        <w:t>RECORDKEEPING</w:t>
      </w:r>
    </w:p>
    <w:p w14:paraId="3FA8115C" w14:textId="77777777" w:rsidR="0080310D" w:rsidRDefault="0080310D">
      <w:pPr>
        <w:pStyle w:val="BodyText"/>
        <w:rPr>
          <w:b/>
        </w:rPr>
      </w:pPr>
    </w:p>
    <w:p w14:paraId="5E306FA0" w14:textId="77777777" w:rsidR="00D85532" w:rsidRDefault="004830AF" w:rsidP="00D85532">
      <w:pPr>
        <w:pStyle w:val="BodyText"/>
        <w:tabs>
          <w:tab w:val="left" w:pos="2863"/>
          <w:tab w:val="left" w:pos="4511"/>
          <w:tab w:val="left" w:pos="5879"/>
          <w:tab w:val="left" w:pos="7367"/>
          <w:tab w:val="left" w:pos="8870"/>
        </w:tabs>
        <w:ind w:left="719" w:right="715"/>
        <w:jc w:val="both"/>
        <w:rPr>
          <w:spacing w:val="-2"/>
        </w:rPr>
      </w:pPr>
      <w:r>
        <w:t>The PI must maintain controlled substances</w:t>
      </w:r>
      <w:r>
        <w:rPr>
          <w:spacing w:val="-1"/>
        </w:rPr>
        <w:t xml:space="preserve"> </w:t>
      </w:r>
      <w:r>
        <w:t>and prescription drugs inventories in conformance with the State of Florida and federal regulations required by 21</w:t>
      </w:r>
      <w:r>
        <w:rPr>
          <w:spacing w:val="80"/>
        </w:rPr>
        <w:t xml:space="preserve"> </w:t>
      </w:r>
      <w:r>
        <w:t>CFR 1304.03. Records must be retained for a minimum period of two (2) years following final disposal or use of the prescription or legend drug, as per Florida Administrative</w:t>
      </w:r>
      <w:r>
        <w:rPr>
          <w:spacing w:val="-2"/>
        </w:rPr>
        <w:t xml:space="preserve"> </w:t>
      </w:r>
      <w:r>
        <w:t>Code</w:t>
      </w:r>
      <w:r>
        <w:rPr>
          <w:spacing w:val="-2"/>
        </w:rPr>
        <w:t xml:space="preserve"> </w:t>
      </w:r>
      <w:r>
        <w:t>(</w:t>
      </w:r>
      <w:hyperlink r:id="rId71">
        <w:r>
          <w:rPr>
            <w:color w:val="0000FF"/>
            <w:u w:val="single" w:color="0000FF"/>
          </w:rPr>
          <w:t>64F-12.012</w:t>
        </w:r>
        <w:r>
          <w:rPr>
            <w:color w:val="0000FF"/>
            <w:spacing w:val="-3"/>
            <w:u w:val="single" w:color="0000FF"/>
          </w:rPr>
          <w:t xml:space="preserve"> </w:t>
        </w:r>
        <w:r>
          <w:rPr>
            <w:color w:val="0000FF"/>
            <w:u w:val="single" w:color="0000FF"/>
          </w:rPr>
          <w:t>/</w:t>
        </w:r>
        <w:r>
          <w:rPr>
            <w:color w:val="0000FF"/>
            <w:spacing w:val="-2"/>
            <w:u w:val="single" w:color="0000FF"/>
          </w:rPr>
          <w:t xml:space="preserve"> </w:t>
        </w:r>
        <w:r>
          <w:rPr>
            <w:color w:val="0000FF"/>
            <w:u w:val="single" w:color="0000FF"/>
          </w:rPr>
          <w:t>10D-45.053,</w:t>
        </w:r>
        <w:r>
          <w:rPr>
            <w:color w:val="0000FF"/>
            <w:spacing w:val="-2"/>
            <w:u w:val="single" w:color="0000FF"/>
          </w:rPr>
          <w:t xml:space="preserve"> </w:t>
        </w:r>
        <w:r>
          <w:rPr>
            <w:color w:val="0000FF"/>
            <w:u w:val="single" w:color="0000FF"/>
          </w:rPr>
          <w:t>subsection</w:t>
        </w:r>
        <w:r>
          <w:rPr>
            <w:color w:val="0000FF"/>
            <w:spacing w:val="-2"/>
            <w:u w:val="single" w:color="0000FF"/>
          </w:rPr>
          <w:t xml:space="preserve"> </w:t>
        </w:r>
        <w:r>
          <w:rPr>
            <w:color w:val="0000FF"/>
            <w:u w:val="single" w:color="0000FF"/>
          </w:rPr>
          <w:t>10</w:t>
        </w:r>
      </w:hyperlink>
      <w:r>
        <w:t>).</w:t>
      </w:r>
      <w:r>
        <w:rPr>
          <w:spacing w:val="-2"/>
        </w:rPr>
        <w:t xml:space="preserve"> </w:t>
      </w:r>
      <w:r>
        <w:t>Records</w:t>
      </w:r>
      <w:r>
        <w:rPr>
          <w:spacing w:val="-2"/>
        </w:rPr>
        <w:t xml:space="preserve"> </w:t>
      </w:r>
      <w:r>
        <w:t>must</w:t>
      </w:r>
      <w:r>
        <w:rPr>
          <w:spacing w:val="-2"/>
        </w:rPr>
        <w:t xml:space="preserve"> </w:t>
      </w:r>
      <w:r>
        <w:t xml:space="preserve">be retained beyond two (2) years if an investigation has been initiated and not yet </w:t>
      </w:r>
      <w:r>
        <w:rPr>
          <w:spacing w:val="-2"/>
        </w:rPr>
        <w:t>completed</w:t>
      </w:r>
      <w:r>
        <w:tab/>
      </w:r>
      <w:r>
        <w:rPr>
          <w:spacing w:val="-2"/>
        </w:rPr>
        <w:t>within</w:t>
      </w:r>
      <w:r>
        <w:tab/>
      </w:r>
      <w:r>
        <w:rPr>
          <w:spacing w:val="-5"/>
        </w:rPr>
        <w:t>the</w:t>
      </w:r>
      <w:r>
        <w:tab/>
      </w:r>
      <w:r>
        <w:rPr>
          <w:spacing w:val="-4"/>
        </w:rPr>
        <w:t>two-</w:t>
      </w:r>
      <w:r>
        <w:tab/>
      </w:r>
      <w:r>
        <w:rPr>
          <w:spacing w:val="-4"/>
        </w:rPr>
        <w:t>year</w:t>
      </w:r>
      <w:r>
        <w:tab/>
      </w:r>
      <w:r>
        <w:rPr>
          <w:spacing w:val="-2"/>
        </w:rPr>
        <w:t>limit.</w:t>
      </w:r>
    </w:p>
    <w:p w14:paraId="79C6F665" w14:textId="77777777" w:rsidR="00D85532" w:rsidRDefault="00D85532" w:rsidP="00D85532">
      <w:pPr>
        <w:pStyle w:val="BodyText"/>
        <w:tabs>
          <w:tab w:val="left" w:pos="2863"/>
          <w:tab w:val="left" w:pos="4511"/>
          <w:tab w:val="left" w:pos="5879"/>
          <w:tab w:val="left" w:pos="7367"/>
          <w:tab w:val="left" w:pos="8870"/>
        </w:tabs>
        <w:ind w:left="719" w:right="715"/>
        <w:jc w:val="both"/>
        <w:rPr>
          <w:spacing w:val="-2"/>
        </w:rPr>
      </w:pPr>
    </w:p>
    <w:p w14:paraId="106DEA3B" w14:textId="0337410B" w:rsidR="0080310D" w:rsidRDefault="004830AF" w:rsidP="00D85532">
      <w:pPr>
        <w:pStyle w:val="BodyText"/>
        <w:tabs>
          <w:tab w:val="left" w:pos="2863"/>
          <w:tab w:val="left" w:pos="4511"/>
          <w:tab w:val="left" w:pos="5879"/>
          <w:tab w:val="left" w:pos="7367"/>
          <w:tab w:val="left" w:pos="8870"/>
        </w:tabs>
        <w:ind w:left="719" w:right="715"/>
        <w:jc w:val="both"/>
      </w:pPr>
      <w:r>
        <w:t>The PI should maintain all records listed in the UCF Controlled Substances Manual, which addresses procedures, DEA Registration, employee questionnaire, receipts, purchase order forms and DEA Form 222, packing slips, use and inventory records, disposals, loss reports, and training information or records.</w:t>
      </w:r>
      <w:r>
        <w:rPr>
          <w:spacing w:val="40"/>
        </w:rPr>
        <w:t xml:space="preserve"> </w:t>
      </w:r>
      <w:r>
        <w:t>Records should be stored in a secure, designated file space, and be readily available for inspection.</w:t>
      </w:r>
    </w:p>
    <w:p w14:paraId="63BFA1AA" w14:textId="77777777" w:rsidR="0080310D" w:rsidRDefault="0080310D">
      <w:pPr>
        <w:pStyle w:val="BodyText"/>
      </w:pPr>
    </w:p>
    <w:p w14:paraId="49A9D47E" w14:textId="77777777" w:rsidR="0080310D" w:rsidRDefault="004830AF">
      <w:pPr>
        <w:pStyle w:val="BodyText"/>
        <w:ind w:left="719"/>
        <w:jc w:val="both"/>
      </w:pPr>
      <w:r>
        <w:t>Registrants</w:t>
      </w:r>
      <w:r>
        <w:rPr>
          <w:spacing w:val="-5"/>
        </w:rPr>
        <w:t xml:space="preserve"> </w:t>
      </w:r>
      <w:r>
        <w:t>must</w:t>
      </w:r>
      <w:r>
        <w:rPr>
          <w:spacing w:val="-2"/>
        </w:rPr>
        <w:t xml:space="preserve"> </w:t>
      </w:r>
      <w:r>
        <w:t>retain</w:t>
      </w:r>
      <w:r>
        <w:rPr>
          <w:spacing w:val="-2"/>
        </w:rPr>
        <w:t xml:space="preserve"> </w:t>
      </w:r>
      <w:r>
        <w:t>the</w:t>
      </w:r>
      <w:r>
        <w:rPr>
          <w:spacing w:val="-3"/>
        </w:rPr>
        <w:t xml:space="preserve"> </w:t>
      </w:r>
      <w:r>
        <w:t>following</w:t>
      </w:r>
      <w:r>
        <w:rPr>
          <w:spacing w:val="-4"/>
        </w:rPr>
        <w:t xml:space="preserve"> </w:t>
      </w:r>
      <w:r>
        <w:t>controlled</w:t>
      </w:r>
      <w:r>
        <w:rPr>
          <w:spacing w:val="-2"/>
        </w:rPr>
        <w:t xml:space="preserve"> </w:t>
      </w:r>
      <w:r>
        <w:t>substance</w:t>
      </w:r>
      <w:r>
        <w:rPr>
          <w:spacing w:val="-1"/>
        </w:rPr>
        <w:t xml:space="preserve"> </w:t>
      </w:r>
      <w:r>
        <w:rPr>
          <w:spacing w:val="-2"/>
        </w:rPr>
        <w:t>records:</w:t>
      </w:r>
    </w:p>
    <w:p w14:paraId="1349C888" w14:textId="77777777" w:rsidR="0080310D" w:rsidRDefault="0080310D">
      <w:pPr>
        <w:pStyle w:val="BodyText"/>
      </w:pPr>
    </w:p>
    <w:p w14:paraId="109ECC52" w14:textId="77777777" w:rsidR="0080310D" w:rsidRDefault="004830AF">
      <w:pPr>
        <w:ind w:left="719" w:right="715"/>
        <w:jc w:val="both"/>
        <w:rPr>
          <w:sz w:val="24"/>
        </w:rPr>
      </w:pPr>
      <w:r>
        <w:rPr>
          <w:b/>
          <w:sz w:val="24"/>
        </w:rPr>
        <w:t>Applications</w:t>
      </w:r>
      <w:r>
        <w:rPr>
          <w:b/>
          <w:spacing w:val="-1"/>
          <w:sz w:val="24"/>
        </w:rPr>
        <w:t xml:space="preserve"> </w:t>
      </w:r>
      <w:r>
        <w:rPr>
          <w:b/>
          <w:sz w:val="24"/>
        </w:rPr>
        <w:t>and</w:t>
      </w:r>
      <w:r>
        <w:rPr>
          <w:b/>
          <w:spacing w:val="-2"/>
          <w:sz w:val="24"/>
        </w:rPr>
        <w:t xml:space="preserve"> </w:t>
      </w:r>
      <w:r>
        <w:rPr>
          <w:b/>
          <w:sz w:val="24"/>
        </w:rPr>
        <w:t>Registrations</w:t>
      </w:r>
      <w:r>
        <w:rPr>
          <w:sz w:val="24"/>
        </w:rPr>
        <w:t>:</w:t>
      </w:r>
      <w:r>
        <w:rPr>
          <w:spacing w:val="-1"/>
          <w:sz w:val="24"/>
        </w:rPr>
        <w:t xml:space="preserve"> </w:t>
      </w:r>
      <w:r>
        <w:rPr>
          <w:sz w:val="24"/>
        </w:rPr>
        <w:t>Copies</w:t>
      </w:r>
      <w:r>
        <w:rPr>
          <w:spacing w:val="-2"/>
          <w:sz w:val="24"/>
        </w:rPr>
        <w:t xml:space="preserve"> </w:t>
      </w:r>
      <w:r>
        <w:rPr>
          <w:sz w:val="24"/>
        </w:rPr>
        <w:t>of</w:t>
      </w:r>
      <w:r>
        <w:rPr>
          <w:spacing w:val="-1"/>
          <w:sz w:val="24"/>
        </w:rPr>
        <w:t xml:space="preserve"> </w:t>
      </w:r>
      <w:r>
        <w:rPr>
          <w:sz w:val="24"/>
        </w:rPr>
        <w:t>all</w:t>
      </w:r>
      <w:r>
        <w:rPr>
          <w:spacing w:val="-2"/>
          <w:sz w:val="24"/>
        </w:rPr>
        <w:t xml:space="preserve"> </w:t>
      </w:r>
      <w:r>
        <w:rPr>
          <w:sz w:val="24"/>
        </w:rPr>
        <w:t>applications,</w:t>
      </w:r>
      <w:r>
        <w:rPr>
          <w:spacing w:val="-1"/>
          <w:sz w:val="24"/>
        </w:rPr>
        <w:t xml:space="preserve"> </w:t>
      </w:r>
      <w:r>
        <w:rPr>
          <w:sz w:val="24"/>
        </w:rPr>
        <w:t>renewal</w:t>
      </w:r>
      <w:r>
        <w:rPr>
          <w:spacing w:val="-2"/>
          <w:sz w:val="24"/>
        </w:rPr>
        <w:t xml:space="preserve"> </w:t>
      </w:r>
      <w:r>
        <w:rPr>
          <w:sz w:val="24"/>
        </w:rPr>
        <w:t>information, registrations, and exemptions.</w:t>
      </w:r>
    </w:p>
    <w:p w14:paraId="37112122" w14:textId="77777777" w:rsidR="0080310D" w:rsidRDefault="0080310D">
      <w:pPr>
        <w:pStyle w:val="BodyText"/>
      </w:pPr>
    </w:p>
    <w:p w14:paraId="2730E9CC" w14:textId="77777777" w:rsidR="0080310D" w:rsidRDefault="004830AF">
      <w:pPr>
        <w:ind w:left="720" w:right="716"/>
        <w:jc w:val="both"/>
        <w:rPr>
          <w:sz w:val="24"/>
        </w:rPr>
      </w:pPr>
      <w:r>
        <w:rPr>
          <w:b/>
          <w:sz w:val="24"/>
        </w:rPr>
        <w:t>Employee Questionnaire</w:t>
      </w:r>
      <w:r>
        <w:rPr>
          <w:sz w:val="24"/>
        </w:rPr>
        <w:t xml:space="preserve">: Copies of all </w:t>
      </w:r>
      <w:hyperlink r:id="rId72">
        <w:r>
          <w:rPr>
            <w:color w:val="0000FF"/>
            <w:sz w:val="24"/>
            <w:u w:val="single" w:color="0000FF"/>
          </w:rPr>
          <w:t>EHS_SOP350_FORM007</w:t>
        </w:r>
      </w:hyperlink>
      <w:r>
        <w:rPr>
          <w:color w:val="0000FF"/>
          <w:sz w:val="24"/>
        </w:rPr>
        <w:t xml:space="preserve"> </w:t>
      </w:r>
      <w:r>
        <w:rPr>
          <w:sz w:val="24"/>
        </w:rPr>
        <w:t>questionnaires submitted by authorized agents.</w:t>
      </w:r>
    </w:p>
    <w:p w14:paraId="1A8605C9" w14:textId="77777777" w:rsidR="0080310D" w:rsidRDefault="0080310D">
      <w:pPr>
        <w:pStyle w:val="BodyText"/>
      </w:pPr>
    </w:p>
    <w:p w14:paraId="2298BF39" w14:textId="77777777" w:rsidR="0080310D" w:rsidRDefault="004830AF">
      <w:pPr>
        <w:pStyle w:val="BodyText"/>
        <w:spacing w:before="1"/>
        <w:ind w:left="720" w:right="715"/>
        <w:jc w:val="both"/>
      </w:pPr>
      <w:r>
        <w:rPr>
          <w:b/>
        </w:rPr>
        <w:t>Purchase and Order Records</w:t>
      </w:r>
      <w:r>
        <w:t>: All invoices for the purchase of prescription drugs and controlled substances. (A copy of the DEA Form 222 will be attached to the purchase order records for Schedule I and II controlled substances.)</w:t>
      </w:r>
    </w:p>
    <w:p w14:paraId="58ECA0F5" w14:textId="77777777" w:rsidR="0080310D" w:rsidRDefault="004830AF">
      <w:pPr>
        <w:pStyle w:val="BodyText"/>
        <w:spacing w:before="276"/>
        <w:ind w:left="720"/>
        <w:jc w:val="both"/>
      </w:pPr>
      <w:r>
        <w:rPr>
          <w:b/>
        </w:rPr>
        <w:t>Receipt</w:t>
      </w:r>
      <w:r>
        <w:rPr>
          <w:b/>
          <w:spacing w:val="-5"/>
        </w:rPr>
        <w:t xml:space="preserve"> </w:t>
      </w:r>
      <w:r>
        <w:rPr>
          <w:b/>
        </w:rPr>
        <w:t>Form</w:t>
      </w:r>
      <w:r>
        <w:t>:</w:t>
      </w:r>
      <w:r>
        <w:rPr>
          <w:spacing w:val="-3"/>
        </w:rPr>
        <w:t xml:space="preserve"> </w:t>
      </w:r>
      <w:r>
        <w:t>A</w:t>
      </w:r>
      <w:r>
        <w:rPr>
          <w:spacing w:val="-1"/>
        </w:rPr>
        <w:t xml:space="preserve"> </w:t>
      </w:r>
      <w:r>
        <w:t>tracking</w:t>
      </w:r>
      <w:r>
        <w:rPr>
          <w:spacing w:val="-2"/>
        </w:rPr>
        <w:t xml:space="preserve"> </w:t>
      </w:r>
      <w:r>
        <w:t>and</w:t>
      </w:r>
      <w:r>
        <w:rPr>
          <w:spacing w:val="-1"/>
        </w:rPr>
        <w:t xml:space="preserve"> </w:t>
      </w:r>
      <w:r>
        <w:t>inventory</w:t>
      </w:r>
      <w:r>
        <w:rPr>
          <w:spacing w:val="-3"/>
        </w:rPr>
        <w:t xml:space="preserve"> </w:t>
      </w:r>
      <w:r>
        <w:t>of all</w:t>
      </w:r>
      <w:r>
        <w:rPr>
          <w:spacing w:val="-2"/>
        </w:rPr>
        <w:t xml:space="preserve"> </w:t>
      </w:r>
      <w:r>
        <w:t>shipments</w:t>
      </w:r>
      <w:r>
        <w:rPr>
          <w:spacing w:val="-3"/>
        </w:rPr>
        <w:t xml:space="preserve"> </w:t>
      </w:r>
      <w:r>
        <w:t>as</w:t>
      </w:r>
      <w:r>
        <w:rPr>
          <w:spacing w:val="-2"/>
        </w:rPr>
        <w:t xml:space="preserve"> </w:t>
      </w:r>
      <w:r>
        <w:t>they</w:t>
      </w:r>
      <w:r>
        <w:rPr>
          <w:spacing w:val="-3"/>
        </w:rPr>
        <w:t xml:space="preserve"> </w:t>
      </w:r>
      <w:r>
        <w:t>are</w:t>
      </w:r>
      <w:r>
        <w:rPr>
          <w:spacing w:val="-2"/>
        </w:rPr>
        <w:t xml:space="preserve"> received.</w:t>
      </w:r>
    </w:p>
    <w:p w14:paraId="08E7BA23" w14:textId="77777777" w:rsidR="0080310D" w:rsidRDefault="004830AF">
      <w:pPr>
        <w:pStyle w:val="BodyText"/>
        <w:spacing w:before="276"/>
        <w:ind w:left="720" w:right="711"/>
        <w:jc w:val="both"/>
      </w:pPr>
      <w:r>
        <w:rPr>
          <w:b/>
        </w:rPr>
        <w:t>Use Logs</w:t>
      </w:r>
      <w:r>
        <w:t xml:space="preserve">: Real-time inventories for each substance, using a separate </w:t>
      </w:r>
      <w:hyperlink r:id="rId73">
        <w:r>
          <w:rPr>
            <w:color w:val="0000FF"/>
            <w:u w:val="single" w:color="0000FF"/>
          </w:rPr>
          <w:t>EHS_SOP350_FORM008</w:t>
        </w:r>
      </w:hyperlink>
      <w:r>
        <w:rPr>
          <w:color w:val="0000FF"/>
        </w:rPr>
        <w:t xml:space="preserve"> </w:t>
      </w:r>
      <w:r>
        <w:t>Use Log for each individual vial, from acquisition to disposition. Multiple vials may not be recorded on an individual Use Log. The</w:t>
      </w:r>
      <w:r>
        <w:rPr>
          <w:spacing w:val="80"/>
        </w:rPr>
        <w:t xml:space="preserve"> </w:t>
      </w:r>
      <w:r>
        <w:t>Use Log must show a final volume and weight of zero (0) when a vial is empty. If the vial is empty</w:t>
      </w:r>
      <w:r>
        <w:rPr>
          <w:spacing w:val="-2"/>
        </w:rPr>
        <w:t xml:space="preserve"> </w:t>
      </w:r>
      <w:r>
        <w:t>and the Use Log</w:t>
      </w:r>
      <w:r>
        <w:rPr>
          <w:spacing w:val="-1"/>
        </w:rPr>
        <w:t xml:space="preserve"> </w:t>
      </w:r>
      <w:r>
        <w:t>does not reconcile to zero, within one business day of discovery (</w:t>
      </w:r>
      <w:hyperlink r:id="rId74">
        <w:r>
          <w:t>21 C.F.R. § 1301.76 (b)</w:t>
        </w:r>
      </w:hyperlink>
      <w:r>
        <w:t>), the registrant must notify the DEA Field Division Office in his or her area, in writing, of what the researcher may consider a significant loss or theft.</w:t>
      </w:r>
    </w:p>
    <w:p w14:paraId="3CDC901B" w14:textId="77777777" w:rsidR="0080310D" w:rsidRDefault="0080310D">
      <w:pPr>
        <w:pStyle w:val="BodyText"/>
      </w:pPr>
    </w:p>
    <w:p w14:paraId="749128E8" w14:textId="77777777" w:rsidR="0080310D" w:rsidRDefault="004830AF">
      <w:pPr>
        <w:pStyle w:val="BodyText"/>
        <w:ind w:left="720" w:right="715"/>
        <w:jc w:val="both"/>
      </w:pPr>
      <w:r>
        <w:rPr>
          <w:b/>
        </w:rPr>
        <w:t xml:space="preserve">Inventories: </w:t>
      </w:r>
      <w:r>
        <w:t xml:space="preserve">Two separate inventories: an </w:t>
      </w:r>
      <w:hyperlink r:id="rId75">
        <w:r>
          <w:rPr>
            <w:color w:val="0000FF"/>
            <w:u w:val="single" w:color="0000FF"/>
          </w:rPr>
          <w:t>EHS_SOP350_FORM006</w:t>
        </w:r>
      </w:hyperlink>
      <w:r>
        <w:rPr>
          <w:color w:val="0000FF"/>
        </w:rPr>
        <w:t xml:space="preserve"> </w:t>
      </w:r>
      <w:r>
        <w:t xml:space="preserve">Initial </w:t>
      </w:r>
      <w:r>
        <w:lastRenderedPageBreak/>
        <w:t xml:space="preserve">Inventory, which must be completed upon receiving a DEA Registration; and an </w:t>
      </w:r>
      <w:hyperlink r:id="rId76">
        <w:r>
          <w:rPr>
            <w:color w:val="0000FF"/>
            <w:u w:val="single" w:color="0000FF"/>
          </w:rPr>
          <w:t>EHS_SOP350_FORM001</w:t>
        </w:r>
      </w:hyperlink>
      <w:r>
        <w:rPr>
          <w:color w:val="0000FF"/>
        </w:rPr>
        <w:t xml:space="preserve"> </w:t>
      </w:r>
      <w:r>
        <w:t>Biennial Inventory, which must be completed every</w:t>
      </w:r>
      <w:r>
        <w:rPr>
          <w:spacing w:val="40"/>
        </w:rPr>
        <w:t xml:space="preserve"> </w:t>
      </w:r>
      <w:r>
        <w:t>two years thereafter.</w:t>
      </w:r>
      <w:r>
        <w:rPr>
          <w:spacing w:val="40"/>
        </w:rPr>
        <w:t xml:space="preserve"> </w:t>
      </w:r>
      <w:r>
        <w:t>If the registrant does not have any inventory at the time of the registration, then the Initial</w:t>
      </w:r>
      <w:r>
        <w:rPr>
          <w:spacing w:val="-1"/>
        </w:rPr>
        <w:t xml:space="preserve"> </w:t>
      </w:r>
      <w:r>
        <w:t>Inventory</w:t>
      </w:r>
      <w:r>
        <w:rPr>
          <w:spacing w:val="-3"/>
        </w:rPr>
        <w:t xml:space="preserve"> </w:t>
      </w:r>
      <w:r>
        <w:t>Form</w:t>
      </w:r>
      <w:r>
        <w:rPr>
          <w:spacing w:val="-1"/>
        </w:rPr>
        <w:t xml:space="preserve"> </w:t>
      </w:r>
      <w:r>
        <w:t>must show</w:t>
      </w:r>
      <w:r>
        <w:rPr>
          <w:spacing w:val="-3"/>
        </w:rPr>
        <w:t xml:space="preserve"> </w:t>
      </w:r>
      <w:r>
        <w:t>a zero (0)</w:t>
      </w:r>
      <w:r>
        <w:rPr>
          <w:spacing w:val="-1"/>
        </w:rPr>
        <w:t xml:space="preserve"> </w:t>
      </w:r>
      <w:r>
        <w:t>inventory.</w:t>
      </w:r>
      <w:r>
        <w:rPr>
          <w:spacing w:val="40"/>
        </w:rPr>
        <w:t xml:space="preserve"> </w:t>
      </w:r>
      <w:r>
        <w:t>A continuous general inventory is also required, to maintain accurate records.</w:t>
      </w:r>
    </w:p>
    <w:p w14:paraId="7FDB48F5" w14:textId="77777777" w:rsidR="0080310D" w:rsidRDefault="0080310D">
      <w:pPr>
        <w:pStyle w:val="BodyText"/>
      </w:pPr>
    </w:p>
    <w:p w14:paraId="1A8AE8CD" w14:textId="77777777" w:rsidR="0080310D" w:rsidRDefault="004830AF">
      <w:pPr>
        <w:pStyle w:val="BodyText"/>
        <w:ind w:left="719" w:right="712"/>
        <w:jc w:val="both"/>
      </w:pPr>
      <w:r>
        <w:rPr>
          <w:b/>
        </w:rPr>
        <w:t xml:space="preserve">Disposal Records: </w:t>
      </w:r>
      <w:r>
        <w:t xml:space="preserve">A copy of DEA Form 41, as a record of disposal of the controlled substance. Damaged, expired, unwanted, unusable, or non-returnable controlled substances must be disposed of in accordance with regulations. The </w:t>
      </w:r>
      <w:hyperlink r:id="rId77">
        <w:r>
          <w:rPr>
            <w:color w:val="0000FF"/>
            <w:u w:val="single" w:color="0000FF"/>
          </w:rPr>
          <w:t>DEA Form 41</w:t>
        </w:r>
      </w:hyperlink>
      <w:r>
        <w:rPr>
          <w:color w:val="0000FF"/>
        </w:rPr>
        <w:t xml:space="preserve"> </w:t>
      </w:r>
      <w:r>
        <w:t>must be completed and obtained from the Reverse Distributor of choice</w:t>
      </w:r>
      <w:r>
        <w:rPr>
          <w:spacing w:val="-2"/>
        </w:rPr>
        <w:t xml:space="preserve"> </w:t>
      </w:r>
      <w:r>
        <w:t>upon</w:t>
      </w:r>
      <w:r>
        <w:rPr>
          <w:spacing w:val="-2"/>
        </w:rPr>
        <w:t xml:space="preserve"> </w:t>
      </w:r>
      <w:r>
        <w:t>disposal</w:t>
      </w:r>
      <w:r>
        <w:rPr>
          <w:spacing w:val="-1"/>
        </w:rPr>
        <w:t xml:space="preserve"> </w:t>
      </w:r>
      <w:r>
        <w:t>of any</w:t>
      </w:r>
      <w:r>
        <w:rPr>
          <w:spacing w:val="-3"/>
        </w:rPr>
        <w:t xml:space="preserve"> </w:t>
      </w:r>
      <w:r>
        <w:t>controlled</w:t>
      </w:r>
      <w:r>
        <w:rPr>
          <w:spacing w:val="-2"/>
        </w:rPr>
        <w:t xml:space="preserve"> </w:t>
      </w:r>
      <w:r>
        <w:t>substances.</w:t>
      </w:r>
      <w:r>
        <w:rPr>
          <w:spacing w:val="-2"/>
        </w:rPr>
        <w:t xml:space="preserve"> </w:t>
      </w:r>
      <w:r>
        <w:t>A copy</w:t>
      </w:r>
      <w:r>
        <w:rPr>
          <w:spacing w:val="-3"/>
        </w:rPr>
        <w:t xml:space="preserve"> </w:t>
      </w:r>
      <w:r>
        <w:t>of the</w:t>
      </w:r>
      <w:r>
        <w:rPr>
          <w:spacing w:val="-2"/>
        </w:rPr>
        <w:t xml:space="preserve"> </w:t>
      </w:r>
      <w:r>
        <w:t>completed</w:t>
      </w:r>
      <w:r>
        <w:rPr>
          <w:spacing w:val="-2"/>
        </w:rPr>
        <w:t xml:space="preserve"> </w:t>
      </w:r>
      <w:r>
        <w:t>DEA Form 41 must be filed in the Controlled Substances Manual.</w:t>
      </w:r>
    </w:p>
    <w:p w14:paraId="5E11B572" w14:textId="77777777" w:rsidR="0080310D" w:rsidRDefault="0080310D">
      <w:pPr>
        <w:pStyle w:val="BodyText"/>
      </w:pPr>
    </w:p>
    <w:p w14:paraId="785ADB66" w14:textId="2A0413FE" w:rsidR="0080310D" w:rsidRDefault="004830AF" w:rsidP="00D85532">
      <w:pPr>
        <w:pStyle w:val="BodyText"/>
        <w:ind w:left="719" w:right="717"/>
        <w:jc w:val="both"/>
      </w:pPr>
      <w:r>
        <w:t>Federal regulations require that registrants report any theft or significant loss of any</w:t>
      </w:r>
      <w:r>
        <w:rPr>
          <w:spacing w:val="-3"/>
        </w:rPr>
        <w:t xml:space="preserve"> </w:t>
      </w:r>
      <w:r>
        <w:t>controlled substances</w:t>
      </w:r>
      <w:r>
        <w:rPr>
          <w:spacing w:val="-1"/>
        </w:rPr>
        <w:t xml:space="preserve"> </w:t>
      </w:r>
      <w:r>
        <w:t>to the nearest DEA Field Division Office</w:t>
      </w:r>
      <w:r>
        <w:rPr>
          <w:spacing w:val="-2"/>
        </w:rPr>
        <w:t xml:space="preserve"> </w:t>
      </w:r>
      <w:r>
        <w:t>(Miami) within</w:t>
      </w:r>
      <w:r w:rsidR="00D85532">
        <w:t xml:space="preserve"> </w:t>
      </w:r>
      <w:r>
        <w:t>one (1) business day of the discovery (</w:t>
      </w:r>
      <w:hyperlink r:id="rId78">
        <w:r>
          <w:rPr>
            <w:u w:val="single"/>
          </w:rPr>
          <w:t>21 C.F.R. § 1301.76 (b)</w:t>
        </w:r>
      </w:hyperlink>
      <w:r>
        <w:t>). A DEA Form</w:t>
      </w:r>
      <w:r>
        <w:rPr>
          <w:spacing w:val="40"/>
        </w:rPr>
        <w:t xml:space="preserve"> </w:t>
      </w:r>
      <w:r>
        <w:t xml:space="preserve">106 must also be completed and submitted to the DEA Field Division Office. The online </w:t>
      </w:r>
      <w:hyperlink r:id="rId79">
        <w:r>
          <w:rPr>
            <w:color w:val="0000FF"/>
            <w:u w:val="single" w:color="0000FF"/>
          </w:rPr>
          <w:t>DEA Form 106</w:t>
        </w:r>
      </w:hyperlink>
      <w:r>
        <w:rPr>
          <w:color w:val="0000FF"/>
        </w:rPr>
        <w:t xml:space="preserve"> </w:t>
      </w:r>
      <w:r>
        <w:t>is the preferred method due to timeliness and</w:t>
      </w:r>
      <w:r>
        <w:rPr>
          <w:spacing w:val="40"/>
        </w:rPr>
        <w:t xml:space="preserve"> </w:t>
      </w:r>
      <w:r>
        <w:t>convenience. Registrants should notify the UCF Police Department (407-823-5555) and EHS after reporting theft or loss to the DEA.</w:t>
      </w:r>
    </w:p>
    <w:p w14:paraId="509FD077" w14:textId="77777777" w:rsidR="0080310D" w:rsidRDefault="0080310D">
      <w:pPr>
        <w:pStyle w:val="BodyText"/>
      </w:pPr>
    </w:p>
    <w:p w14:paraId="1E0D3B2D" w14:textId="05ADF250" w:rsidR="0080310D" w:rsidRDefault="004830AF">
      <w:pPr>
        <w:pStyle w:val="BodyText"/>
        <w:ind w:left="719" w:right="715"/>
        <w:jc w:val="both"/>
      </w:pPr>
      <w:r>
        <w:t xml:space="preserve">In the event that the PI leaves the institution, the recordkeeping logbook must be returned to the </w:t>
      </w:r>
      <w:r w:rsidR="00696032">
        <w:t>Biological Safety Officer</w:t>
      </w:r>
      <w:r>
        <w:t>. The EHS_SOP340 Laboratory Close-out Procedures are to be used in the</w:t>
      </w:r>
      <w:r>
        <w:rPr>
          <w:spacing w:val="-1"/>
        </w:rPr>
        <w:t xml:space="preserve"> </w:t>
      </w:r>
      <w:r>
        <w:t>event that UCF laboratories will be vacated due to a</w:t>
      </w:r>
      <w:r>
        <w:rPr>
          <w:spacing w:val="-2"/>
        </w:rPr>
        <w:t xml:space="preserve"> </w:t>
      </w:r>
      <w:r>
        <w:t>PI</w:t>
      </w:r>
      <w:r>
        <w:rPr>
          <w:spacing w:val="-2"/>
        </w:rPr>
        <w:t xml:space="preserve"> </w:t>
      </w:r>
      <w:r>
        <w:t>leaving</w:t>
      </w:r>
      <w:r>
        <w:rPr>
          <w:spacing w:val="-2"/>
        </w:rPr>
        <w:t xml:space="preserve"> </w:t>
      </w:r>
      <w:r>
        <w:t>the institution, the</w:t>
      </w:r>
      <w:r>
        <w:rPr>
          <w:spacing w:val="-2"/>
        </w:rPr>
        <w:t xml:space="preserve"> </w:t>
      </w:r>
      <w:r>
        <w:t>relocation</w:t>
      </w:r>
      <w:r>
        <w:rPr>
          <w:spacing w:val="-2"/>
        </w:rPr>
        <w:t xml:space="preserve"> </w:t>
      </w:r>
      <w:r>
        <w:t>or</w:t>
      </w:r>
      <w:r>
        <w:rPr>
          <w:spacing w:val="-4"/>
        </w:rPr>
        <w:t xml:space="preserve"> </w:t>
      </w:r>
      <w:r>
        <w:t>termination</w:t>
      </w:r>
      <w:r>
        <w:rPr>
          <w:spacing w:val="-2"/>
        </w:rPr>
        <w:t xml:space="preserve"> </w:t>
      </w:r>
      <w:r>
        <w:t>of research activities</w:t>
      </w:r>
      <w:r>
        <w:rPr>
          <w:spacing w:val="-1"/>
        </w:rPr>
        <w:t xml:space="preserve"> </w:t>
      </w:r>
      <w:r>
        <w:t>in a particular laboratory, or planning for a renovation project.</w:t>
      </w:r>
    </w:p>
    <w:p w14:paraId="7CA3EDEF" w14:textId="77777777" w:rsidR="0080310D" w:rsidRDefault="0080310D">
      <w:pPr>
        <w:pStyle w:val="BodyText"/>
      </w:pPr>
    </w:p>
    <w:p w14:paraId="37EBD9B1" w14:textId="77777777" w:rsidR="0080310D" w:rsidRDefault="004830AF">
      <w:pPr>
        <w:pStyle w:val="BodyText"/>
        <w:ind w:left="720" w:right="712"/>
        <w:jc w:val="both"/>
      </w:pPr>
      <w:r>
        <w:t xml:space="preserve">The </w:t>
      </w:r>
      <w:hyperlink r:id="rId80">
        <w:r>
          <w:rPr>
            <w:color w:val="0000FF"/>
            <w:u w:val="single" w:color="0000FF"/>
          </w:rPr>
          <w:t>EHS_SOP350_FORM004</w:t>
        </w:r>
      </w:hyperlink>
      <w:r>
        <w:rPr>
          <w:color w:val="0000FF"/>
        </w:rPr>
        <w:t xml:space="preserve"> </w:t>
      </w:r>
      <w:hyperlink r:id="rId81">
        <w:r>
          <w:t>Controlled Substance Spill Record Form</w:t>
        </w:r>
      </w:hyperlink>
      <w:r>
        <w:t xml:space="preserve"> must be completed for controlled substance spills. It is highly encouraged to include pictures and/or other documentation, for recordkeeping and to help account for the amount spilled.</w:t>
      </w:r>
    </w:p>
    <w:p w14:paraId="6E0B3C7B" w14:textId="77777777" w:rsidR="0080310D" w:rsidRDefault="0080310D">
      <w:pPr>
        <w:pStyle w:val="BodyText"/>
      </w:pPr>
    </w:p>
    <w:p w14:paraId="401C2B14" w14:textId="77777777" w:rsidR="0080310D" w:rsidRDefault="004830AF">
      <w:pPr>
        <w:pStyle w:val="Heading1"/>
        <w:numPr>
          <w:ilvl w:val="0"/>
          <w:numId w:val="6"/>
        </w:numPr>
        <w:tabs>
          <w:tab w:val="left" w:pos="1482"/>
        </w:tabs>
        <w:spacing w:before="1"/>
        <w:ind w:left="1482" w:hanging="402"/>
      </w:pPr>
      <w:bookmarkStart w:id="17" w:name="17._TRAINING"/>
      <w:bookmarkEnd w:id="17"/>
      <w:r>
        <w:rPr>
          <w:spacing w:val="-2"/>
        </w:rPr>
        <w:t>TRAINING</w:t>
      </w:r>
    </w:p>
    <w:p w14:paraId="13AD636D" w14:textId="79657047" w:rsidR="0080310D" w:rsidRDefault="004830AF">
      <w:pPr>
        <w:pStyle w:val="BodyText"/>
        <w:spacing w:before="276"/>
        <w:ind w:left="720" w:right="715"/>
        <w:jc w:val="both"/>
      </w:pPr>
      <w:r>
        <w:t>It</w:t>
      </w:r>
      <w:r>
        <w:rPr>
          <w:spacing w:val="-2"/>
        </w:rPr>
        <w:t xml:space="preserve"> </w:t>
      </w:r>
      <w:r>
        <w:t>is</w:t>
      </w:r>
      <w:r>
        <w:rPr>
          <w:spacing w:val="-3"/>
        </w:rPr>
        <w:t xml:space="preserve"> </w:t>
      </w:r>
      <w:r>
        <w:t>a</w:t>
      </w:r>
      <w:r>
        <w:rPr>
          <w:spacing w:val="-2"/>
        </w:rPr>
        <w:t xml:space="preserve"> </w:t>
      </w:r>
      <w:r>
        <w:t>UCF</w:t>
      </w:r>
      <w:r>
        <w:rPr>
          <w:spacing w:val="-3"/>
        </w:rPr>
        <w:t xml:space="preserve"> </w:t>
      </w:r>
      <w:r>
        <w:t>EHS</w:t>
      </w:r>
      <w:r>
        <w:rPr>
          <w:spacing w:val="-2"/>
        </w:rPr>
        <w:t xml:space="preserve"> </w:t>
      </w:r>
      <w:r>
        <w:t>requirement</w:t>
      </w:r>
      <w:r>
        <w:rPr>
          <w:spacing w:val="-5"/>
        </w:rPr>
        <w:t xml:space="preserve"> </w:t>
      </w:r>
      <w:r>
        <w:t>for</w:t>
      </w:r>
      <w:r>
        <w:rPr>
          <w:spacing w:val="-4"/>
        </w:rPr>
        <w:t xml:space="preserve"> </w:t>
      </w:r>
      <w:r>
        <w:t>all</w:t>
      </w:r>
      <w:r>
        <w:rPr>
          <w:spacing w:val="-3"/>
        </w:rPr>
        <w:t xml:space="preserve"> </w:t>
      </w:r>
      <w:r>
        <w:t>registrants</w:t>
      </w:r>
      <w:r>
        <w:rPr>
          <w:spacing w:val="-3"/>
        </w:rPr>
        <w:t xml:space="preserve"> </w:t>
      </w:r>
      <w:r>
        <w:t>and</w:t>
      </w:r>
      <w:r>
        <w:rPr>
          <w:spacing w:val="-2"/>
        </w:rPr>
        <w:t xml:space="preserve"> </w:t>
      </w:r>
      <w:r>
        <w:t>authorized</w:t>
      </w:r>
      <w:r>
        <w:rPr>
          <w:spacing w:val="-2"/>
        </w:rPr>
        <w:t xml:space="preserve"> </w:t>
      </w:r>
      <w:r>
        <w:t>agents</w:t>
      </w:r>
      <w:r>
        <w:rPr>
          <w:spacing w:val="-3"/>
        </w:rPr>
        <w:t xml:space="preserve"> </w:t>
      </w:r>
      <w:r>
        <w:t>to</w:t>
      </w:r>
      <w:r>
        <w:rPr>
          <w:spacing w:val="-2"/>
        </w:rPr>
        <w:t xml:space="preserve"> </w:t>
      </w:r>
      <w:r>
        <w:t xml:space="preserve">complete the </w:t>
      </w:r>
      <w:r w:rsidR="00031C47">
        <w:t xml:space="preserve">EHS155, </w:t>
      </w:r>
      <w:r>
        <w:t>Controlled</w:t>
      </w:r>
      <w:r>
        <w:rPr>
          <w:spacing w:val="-1"/>
        </w:rPr>
        <w:t xml:space="preserve"> </w:t>
      </w:r>
      <w:r>
        <w:t>Substances Online</w:t>
      </w:r>
      <w:r>
        <w:rPr>
          <w:spacing w:val="-1"/>
        </w:rPr>
        <w:t xml:space="preserve"> </w:t>
      </w:r>
      <w:r>
        <w:t>Training</w:t>
      </w:r>
      <w:r>
        <w:rPr>
          <w:spacing w:val="-1"/>
        </w:rPr>
        <w:t xml:space="preserve"> </w:t>
      </w:r>
      <w:r>
        <w:t>biennially.</w:t>
      </w:r>
      <w:r>
        <w:rPr>
          <w:spacing w:val="-6"/>
        </w:rPr>
        <w:t xml:space="preserve"> </w:t>
      </w:r>
      <w:r>
        <w:t>For researchers using</w:t>
      </w:r>
      <w:r>
        <w:rPr>
          <w:spacing w:val="-1"/>
        </w:rPr>
        <w:t xml:space="preserve"> </w:t>
      </w:r>
      <w:r>
        <w:t>DEA analytical</w:t>
      </w:r>
      <w:r>
        <w:rPr>
          <w:spacing w:val="-2"/>
        </w:rPr>
        <w:t xml:space="preserve"> </w:t>
      </w:r>
      <w:r>
        <w:t>standards,</w:t>
      </w:r>
      <w:r>
        <w:rPr>
          <w:spacing w:val="-3"/>
        </w:rPr>
        <w:t xml:space="preserve"> </w:t>
      </w:r>
      <w:r>
        <w:t>training</w:t>
      </w:r>
      <w:r>
        <w:rPr>
          <w:spacing w:val="-3"/>
        </w:rPr>
        <w:t xml:space="preserve"> </w:t>
      </w:r>
      <w:r>
        <w:t>will</w:t>
      </w:r>
      <w:r>
        <w:rPr>
          <w:spacing w:val="-2"/>
        </w:rPr>
        <w:t xml:space="preserve"> </w:t>
      </w:r>
      <w:r>
        <w:t>be</w:t>
      </w:r>
      <w:r>
        <w:rPr>
          <w:spacing w:val="-1"/>
        </w:rPr>
        <w:t xml:space="preserve"> </w:t>
      </w:r>
      <w:r>
        <w:t>required.</w:t>
      </w:r>
      <w:r>
        <w:rPr>
          <w:spacing w:val="-1"/>
        </w:rPr>
        <w:t xml:space="preserve"> </w:t>
      </w:r>
      <w:r>
        <w:t>Additional</w:t>
      </w:r>
      <w:r>
        <w:rPr>
          <w:spacing w:val="-4"/>
        </w:rPr>
        <w:t xml:space="preserve"> </w:t>
      </w:r>
      <w:r>
        <w:t>training</w:t>
      </w:r>
      <w:r>
        <w:rPr>
          <w:spacing w:val="-3"/>
        </w:rPr>
        <w:t xml:space="preserve"> </w:t>
      </w:r>
      <w:r>
        <w:t>is</w:t>
      </w:r>
      <w:r>
        <w:rPr>
          <w:spacing w:val="-2"/>
        </w:rPr>
        <w:t xml:space="preserve"> </w:t>
      </w:r>
      <w:r>
        <w:t>available</w:t>
      </w:r>
      <w:r>
        <w:rPr>
          <w:spacing w:val="-1"/>
        </w:rPr>
        <w:t xml:space="preserve"> </w:t>
      </w:r>
      <w:r>
        <w:t xml:space="preserve">upon </w:t>
      </w:r>
      <w:r>
        <w:rPr>
          <w:spacing w:val="-2"/>
        </w:rPr>
        <w:t>request.</w:t>
      </w:r>
    </w:p>
    <w:p w14:paraId="7DCC192C" w14:textId="77777777" w:rsidR="0080310D" w:rsidRDefault="0080310D">
      <w:pPr>
        <w:pStyle w:val="BodyText"/>
        <w:jc w:val="both"/>
        <w:sectPr w:rsidR="0080310D">
          <w:pgSz w:w="12240" w:h="15840"/>
          <w:pgMar w:top="1360" w:right="1080" w:bottom="1300" w:left="1080" w:header="0" w:footer="1100" w:gutter="0"/>
          <w:cols w:space="720"/>
        </w:sectPr>
      </w:pPr>
    </w:p>
    <w:p w14:paraId="19EE9F41" w14:textId="77777777" w:rsidR="0080310D" w:rsidRDefault="004830AF">
      <w:pPr>
        <w:pStyle w:val="Heading2"/>
        <w:spacing w:before="80"/>
        <w:jc w:val="left"/>
      </w:pPr>
      <w:r>
        <w:rPr>
          <w:spacing w:val="-2"/>
        </w:rPr>
        <w:lastRenderedPageBreak/>
        <w:t>Contacts</w:t>
      </w:r>
    </w:p>
    <w:p w14:paraId="7260343C" w14:textId="77777777" w:rsidR="0080310D" w:rsidRDefault="0080310D">
      <w:pPr>
        <w:pStyle w:val="BodyText"/>
        <w:rPr>
          <w:b/>
        </w:rPr>
      </w:pPr>
    </w:p>
    <w:p w14:paraId="6FC0E7C4" w14:textId="77777777" w:rsidR="0080310D" w:rsidRDefault="004830AF">
      <w:pPr>
        <w:ind w:left="720" w:right="1724"/>
        <w:rPr>
          <w:b/>
          <w:sz w:val="24"/>
        </w:rPr>
      </w:pPr>
      <w:r>
        <w:rPr>
          <w:b/>
          <w:sz w:val="24"/>
        </w:rPr>
        <w:t>Florida</w:t>
      </w:r>
      <w:r>
        <w:rPr>
          <w:b/>
          <w:spacing w:val="-5"/>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Business</w:t>
      </w:r>
      <w:r>
        <w:rPr>
          <w:b/>
          <w:spacing w:val="-7"/>
          <w:sz w:val="24"/>
        </w:rPr>
        <w:t xml:space="preserve"> </w:t>
      </w:r>
      <w:r>
        <w:rPr>
          <w:b/>
          <w:sz w:val="24"/>
        </w:rPr>
        <w:t>and</w:t>
      </w:r>
      <w:r>
        <w:rPr>
          <w:b/>
          <w:spacing w:val="-6"/>
          <w:sz w:val="24"/>
        </w:rPr>
        <w:t xml:space="preserve"> </w:t>
      </w:r>
      <w:r>
        <w:rPr>
          <w:b/>
          <w:sz w:val="24"/>
        </w:rPr>
        <w:t>Professional</w:t>
      </w:r>
      <w:r>
        <w:rPr>
          <w:b/>
          <w:spacing w:val="-7"/>
          <w:sz w:val="24"/>
        </w:rPr>
        <w:t xml:space="preserve"> </w:t>
      </w:r>
      <w:r>
        <w:rPr>
          <w:b/>
          <w:sz w:val="24"/>
        </w:rPr>
        <w:t>Regulation Drugs, Devices, and Cosmetics Program</w:t>
      </w:r>
    </w:p>
    <w:p w14:paraId="568841B6" w14:textId="77777777" w:rsidR="0080310D" w:rsidRDefault="004830AF">
      <w:pPr>
        <w:pStyle w:val="BodyText"/>
        <w:ind w:left="720"/>
      </w:pPr>
      <w:r>
        <w:t>2601</w:t>
      </w:r>
      <w:r>
        <w:rPr>
          <w:spacing w:val="-5"/>
        </w:rPr>
        <w:t xml:space="preserve"> </w:t>
      </w:r>
      <w:r>
        <w:t>Blairstone</w:t>
      </w:r>
      <w:r>
        <w:rPr>
          <w:spacing w:val="-2"/>
        </w:rPr>
        <w:t xml:space="preserve"> </w:t>
      </w:r>
      <w:r>
        <w:rPr>
          <w:spacing w:val="-4"/>
        </w:rPr>
        <w:t>Road</w:t>
      </w:r>
    </w:p>
    <w:p w14:paraId="444DD888" w14:textId="77777777" w:rsidR="0080310D" w:rsidRDefault="004830AF">
      <w:pPr>
        <w:pStyle w:val="BodyText"/>
        <w:ind w:left="720"/>
      </w:pPr>
      <w:r>
        <w:t>Tallahassee,</w:t>
      </w:r>
      <w:r>
        <w:rPr>
          <w:spacing w:val="-7"/>
        </w:rPr>
        <w:t xml:space="preserve"> </w:t>
      </w:r>
      <w:r>
        <w:t>FL</w:t>
      </w:r>
      <w:r>
        <w:rPr>
          <w:spacing w:val="-6"/>
        </w:rPr>
        <w:t xml:space="preserve"> </w:t>
      </w:r>
      <w:r>
        <w:t>32399-</w:t>
      </w:r>
      <w:r>
        <w:rPr>
          <w:spacing w:val="-4"/>
        </w:rPr>
        <w:t>1047</w:t>
      </w:r>
    </w:p>
    <w:p w14:paraId="7978A515" w14:textId="77777777" w:rsidR="0080310D" w:rsidRDefault="004830AF">
      <w:pPr>
        <w:pStyle w:val="BodyText"/>
        <w:ind w:left="720"/>
      </w:pPr>
      <w:r>
        <w:t>(850)</w:t>
      </w:r>
      <w:r>
        <w:rPr>
          <w:spacing w:val="-7"/>
        </w:rPr>
        <w:t xml:space="preserve"> </w:t>
      </w:r>
      <w:r>
        <w:t>717-</w:t>
      </w:r>
      <w:r>
        <w:rPr>
          <w:spacing w:val="-4"/>
        </w:rPr>
        <w:t>1800</w:t>
      </w:r>
    </w:p>
    <w:p w14:paraId="24620201" w14:textId="77777777" w:rsidR="0080310D" w:rsidRDefault="004F5CDA">
      <w:pPr>
        <w:pStyle w:val="BodyText"/>
        <w:ind w:left="720"/>
      </w:pPr>
      <w:hyperlink r:id="rId82">
        <w:r w:rsidR="004830AF">
          <w:rPr>
            <w:color w:val="0000FF"/>
            <w:spacing w:val="-2"/>
            <w:u w:val="single" w:color="0000FF"/>
          </w:rPr>
          <w:t>Stephanie.Prine@myfloridalicense.com</w:t>
        </w:r>
      </w:hyperlink>
    </w:p>
    <w:p w14:paraId="5EF39F14" w14:textId="77777777" w:rsidR="0080310D" w:rsidRDefault="0080310D">
      <w:pPr>
        <w:pStyle w:val="BodyText"/>
      </w:pPr>
    </w:p>
    <w:p w14:paraId="432A9D61" w14:textId="77777777" w:rsidR="0080310D" w:rsidRDefault="0080310D">
      <w:pPr>
        <w:pStyle w:val="BodyText"/>
      </w:pPr>
    </w:p>
    <w:p w14:paraId="54E46748" w14:textId="77777777" w:rsidR="0080310D" w:rsidRDefault="004830AF">
      <w:pPr>
        <w:ind w:left="720" w:right="4119"/>
        <w:rPr>
          <w:sz w:val="24"/>
        </w:rPr>
      </w:pPr>
      <w:r>
        <w:rPr>
          <w:b/>
          <w:sz w:val="24"/>
        </w:rPr>
        <w:t>Drug</w:t>
      </w:r>
      <w:r>
        <w:rPr>
          <w:b/>
          <w:spacing w:val="-14"/>
          <w:sz w:val="24"/>
        </w:rPr>
        <w:t xml:space="preserve"> </w:t>
      </w:r>
      <w:r>
        <w:rPr>
          <w:b/>
          <w:sz w:val="24"/>
        </w:rPr>
        <w:t>Enforcement</w:t>
      </w:r>
      <w:r>
        <w:rPr>
          <w:b/>
          <w:spacing w:val="-13"/>
          <w:sz w:val="24"/>
        </w:rPr>
        <w:t xml:space="preserve"> </w:t>
      </w:r>
      <w:r>
        <w:rPr>
          <w:b/>
          <w:sz w:val="24"/>
        </w:rPr>
        <w:t>Administration</w:t>
      </w:r>
      <w:r>
        <w:rPr>
          <w:b/>
          <w:spacing w:val="-14"/>
          <w:sz w:val="24"/>
        </w:rPr>
        <w:t xml:space="preserve"> </w:t>
      </w:r>
      <w:r>
        <w:rPr>
          <w:b/>
          <w:sz w:val="24"/>
        </w:rPr>
        <w:t xml:space="preserve">(DEA) Orlando District Office, Division: Miami </w:t>
      </w:r>
      <w:r>
        <w:rPr>
          <w:sz w:val="24"/>
        </w:rPr>
        <w:t>Heathrow Business Center</w:t>
      </w:r>
    </w:p>
    <w:p w14:paraId="595B1537" w14:textId="77777777" w:rsidR="0080310D" w:rsidRDefault="004830AF">
      <w:pPr>
        <w:pStyle w:val="BodyText"/>
        <w:ind w:left="720"/>
      </w:pPr>
      <w:r>
        <w:t>300</w:t>
      </w:r>
      <w:r>
        <w:rPr>
          <w:spacing w:val="-5"/>
        </w:rPr>
        <w:t xml:space="preserve"> </w:t>
      </w:r>
      <w:r>
        <w:t>International</w:t>
      </w:r>
      <w:r>
        <w:rPr>
          <w:spacing w:val="-3"/>
        </w:rPr>
        <w:t xml:space="preserve"> </w:t>
      </w:r>
      <w:r>
        <w:t>Parkway,</w:t>
      </w:r>
      <w:r>
        <w:rPr>
          <w:spacing w:val="-2"/>
        </w:rPr>
        <w:t xml:space="preserve"> </w:t>
      </w:r>
      <w:r>
        <w:t>Suite</w:t>
      </w:r>
      <w:r>
        <w:rPr>
          <w:spacing w:val="-2"/>
        </w:rPr>
        <w:t xml:space="preserve"> </w:t>
      </w:r>
      <w:r>
        <w:rPr>
          <w:spacing w:val="-4"/>
        </w:rPr>
        <w:t>#424</w:t>
      </w:r>
    </w:p>
    <w:p w14:paraId="1649B394" w14:textId="77777777" w:rsidR="0080310D" w:rsidRDefault="004830AF">
      <w:pPr>
        <w:pStyle w:val="BodyText"/>
        <w:spacing w:before="1"/>
        <w:ind w:left="720"/>
      </w:pPr>
      <w:r>
        <w:t>Heathrow,</w:t>
      </w:r>
      <w:r>
        <w:rPr>
          <w:spacing w:val="-3"/>
        </w:rPr>
        <w:t xml:space="preserve"> </w:t>
      </w:r>
      <w:r>
        <w:t>FL</w:t>
      </w:r>
      <w:r>
        <w:rPr>
          <w:spacing w:val="-1"/>
        </w:rPr>
        <w:t xml:space="preserve"> </w:t>
      </w:r>
      <w:r>
        <w:rPr>
          <w:spacing w:val="-4"/>
        </w:rPr>
        <w:t>32746</w:t>
      </w:r>
    </w:p>
    <w:p w14:paraId="247AEB04" w14:textId="77777777" w:rsidR="0080310D" w:rsidRDefault="004830AF">
      <w:pPr>
        <w:pStyle w:val="BodyText"/>
        <w:ind w:left="720"/>
      </w:pPr>
      <w:r>
        <w:t>Diversion</w:t>
      </w:r>
      <w:r>
        <w:rPr>
          <w:spacing w:val="-5"/>
        </w:rPr>
        <w:t xml:space="preserve"> </w:t>
      </w:r>
      <w:r>
        <w:t>Number:</w:t>
      </w:r>
      <w:r>
        <w:rPr>
          <w:spacing w:val="-5"/>
        </w:rPr>
        <w:t xml:space="preserve"> </w:t>
      </w:r>
      <w:r>
        <w:t>(407)</w:t>
      </w:r>
      <w:r>
        <w:rPr>
          <w:spacing w:val="-6"/>
        </w:rPr>
        <w:t xml:space="preserve"> </w:t>
      </w:r>
      <w:r>
        <w:t>333-</w:t>
      </w:r>
      <w:r>
        <w:rPr>
          <w:spacing w:val="-4"/>
        </w:rPr>
        <w:t>7046</w:t>
      </w:r>
    </w:p>
    <w:p w14:paraId="1A96BF6A" w14:textId="77777777" w:rsidR="0080310D" w:rsidRDefault="004830AF">
      <w:pPr>
        <w:pStyle w:val="BodyText"/>
        <w:ind w:left="720"/>
      </w:pPr>
      <w:r>
        <w:t>Diversion</w:t>
      </w:r>
      <w:r>
        <w:rPr>
          <w:spacing w:val="-4"/>
        </w:rPr>
        <w:t xml:space="preserve"> </w:t>
      </w:r>
      <w:r>
        <w:t>Fax:</w:t>
      </w:r>
      <w:r>
        <w:rPr>
          <w:spacing w:val="-3"/>
        </w:rPr>
        <w:t xml:space="preserve"> </w:t>
      </w:r>
      <w:r>
        <w:t>(407)</w:t>
      </w:r>
      <w:r>
        <w:rPr>
          <w:spacing w:val="-5"/>
        </w:rPr>
        <w:t xml:space="preserve"> </w:t>
      </w:r>
      <w:r>
        <w:t>333-</w:t>
      </w:r>
      <w:r>
        <w:rPr>
          <w:spacing w:val="-4"/>
        </w:rPr>
        <w:t>7056</w:t>
      </w:r>
    </w:p>
    <w:p w14:paraId="2439F983" w14:textId="77777777" w:rsidR="0080310D" w:rsidRDefault="004830AF">
      <w:pPr>
        <w:pStyle w:val="BodyText"/>
        <w:ind w:left="720"/>
      </w:pPr>
      <w:r>
        <w:t>GS</w:t>
      </w:r>
      <w:r>
        <w:rPr>
          <w:spacing w:val="-2"/>
        </w:rPr>
        <w:t xml:space="preserve"> </w:t>
      </w:r>
      <w:r>
        <w:t>Linda</w:t>
      </w:r>
      <w:r>
        <w:rPr>
          <w:spacing w:val="-4"/>
        </w:rPr>
        <w:t xml:space="preserve"> </w:t>
      </w:r>
      <w:r>
        <w:t>A.</w:t>
      </w:r>
      <w:r>
        <w:rPr>
          <w:spacing w:val="-1"/>
        </w:rPr>
        <w:t xml:space="preserve"> </w:t>
      </w:r>
      <w:r>
        <w:t>Stocum,</w:t>
      </w:r>
      <w:r>
        <w:rPr>
          <w:spacing w:val="-2"/>
        </w:rPr>
        <w:t xml:space="preserve"> </w:t>
      </w:r>
      <w:r>
        <w:t>(407)</w:t>
      </w:r>
      <w:r>
        <w:rPr>
          <w:spacing w:val="-3"/>
        </w:rPr>
        <w:t xml:space="preserve"> </w:t>
      </w:r>
      <w:r>
        <w:t>333-</w:t>
      </w:r>
      <w:r>
        <w:rPr>
          <w:spacing w:val="-4"/>
        </w:rPr>
        <w:t>7006</w:t>
      </w:r>
    </w:p>
    <w:p w14:paraId="5F25CC50" w14:textId="77777777" w:rsidR="0080310D" w:rsidRDefault="0080310D">
      <w:pPr>
        <w:pStyle w:val="BodyText"/>
        <w:spacing w:before="275"/>
      </w:pPr>
    </w:p>
    <w:p w14:paraId="481BFBF8" w14:textId="77777777" w:rsidR="0080310D" w:rsidRDefault="004830AF">
      <w:pPr>
        <w:pStyle w:val="Heading2"/>
        <w:spacing w:before="1"/>
        <w:jc w:val="left"/>
      </w:pPr>
      <w:r>
        <w:t>DEA</w:t>
      </w:r>
      <w:r>
        <w:rPr>
          <w:spacing w:val="-7"/>
        </w:rPr>
        <w:t xml:space="preserve"> </w:t>
      </w:r>
      <w:r>
        <w:t>Diversion</w:t>
      </w:r>
      <w:r>
        <w:rPr>
          <w:spacing w:val="-2"/>
        </w:rPr>
        <w:t xml:space="preserve"> </w:t>
      </w:r>
      <w:r>
        <w:t xml:space="preserve">Control </w:t>
      </w:r>
      <w:r>
        <w:rPr>
          <w:spacing w:val="-2"/>
        </w:rPr>
        <w:t>Division</w:t>
      </w:r>
    </w:p>
    <w:p w14:paraId="749E29F0" w14:textId="77777777" w:rsidR="0080310D" w:rsidRDefault="004F5CDA">
      <w:pPr>
        <w:pStyle w:val="BodyText"/>
        <w:ind w:left="720"/>
      </w:pPr>
      <w:hyperlink r:id="rId83">
        <w:r w:rsidR="004830AF">
          <w:rPr>
            <w:color w:val="0000FF"/>
            <w:spacing w:val="-2"/>
            <w:u w:val="single" w:color="0000FF"/>
          </w:rPr>
          <w:t>http://www.deadiversion.usdoj.gov/index.html</w:t>
        </w:r>
      </w:hyperlink>
    </w:p>
    <w:p w14:paraId="72BBDC03" w14:textId="77777777" w:rsidR="0080310D" w:rsidRDefault="0080310D">
      <w:pPr>
        <w:pStyle w:val="BodyText"/>
      </w:pPr>
    </w:p>
    <w:p w14:paraId="2BF45ACC" w14:textId="77777777" w:rsidR="0080310D" w:rsidRDefault="0080310D">
      <w:pPr>
        <w:pStyle w:val="BodyText"/>
      </w:pPr>
    </w:p>
    <w:p w14:paraId="584C19C0" w14:textId="77777777" w:rsidR="0080310D" w:rsidRDefault="004830AF">
      <w:pPr>
        <w:pStyle w:val="Heading1"/>
        <w:ind w:left="720" w:firstLine="0"/>
      </w:pPr>
      <w:r>
        <w:rPr>
          <w:spacing w:val="-5"/>
        </w:rPr>
        <w:t>EHS</w:t>
      </w:r>
    </w:p>
    <w:p w14:paraId="7A84CC30" w14:textId="2E886CBF" w:rsidR="0080310D" w:rsidRDefault="00B472B2">
      <w:pPr>
        <w:pStyle w:val="BodyText"/>
        <w:ind w:left="720"/>
      </w:pPr>
      <w:r>
        <w:t>Jose Vazquez</w:t>
      </w:r>
    </w:p>
    <w:p w14:paraId="539A4DCA" w14:textId="77777777" w:rsidR="0080310D" w:rsidRDefault="004830AF">
      <w:pPr>
        <w:pStyle w:val="BodyText"/>
        <w:ind w:left="719"/>
      </w:pPr>
      <w:r>
        <w:t>Director,</w:t>
      </w:r>
      <w:r>
        <w:rPr>
          <w:spacing w:val="-5"/>
        </w:rPr>
        <w:t xml:space="preserve"> </w:t>
      </w:r>
      <w:r>
        <w:t>Environmental</w:t>
      </w:r>
      <w:r>
        <w:rPr>
          <w:spacing w:val="-4"/>
        </w:rPr>
        <w:t xml:space="preserve"> </w:t>
      </w:r>
      <w:r>
        <w:t>Health</w:t>
      </w:r>
      <w:r>
        <w:rPr>
          <w:spacing w:val="-4"/>
        </w:rPr>
        <w:t xml:space="preserve"> </w:t>
      </w:r>
      <w:r>
        <w:t>and</w:t>
      </w:r>
      <w:r>
        <w:rPr>
          <w:spacing w:val="-5"/>
        </w:rPr>
        <w:t xml:space="preserve"> </w:t>
      </w:r>
      <w:r>
        <w:rPr>
          <w:spacing w:val="-2"/>
        </w:rPr>
        <w:t>Safety</w:t>
      </w:r>
    </w:p>
    <w:p w14:paraId="4641F7B3" w14:textId="77777777" w:rsidR="00B472B2" w:rsidRDefault="00B472B2" w:rsidP="00B472B2">
      <w:pPr>
        <w:pStyle w:val="BodyText"/>
        <w:ind w:left="720" w:right="4119"/>
      </w:pPr>
      <w:r>
        <w:t>3512 Perseus Loop Bldg 48</w:t>
      </w:r>
    </w:p>
    <w:p w14:paraId="6BC85FB2" w14:textId="77777777" w:rsidR="00B472B2" w:rsidRDefault="00B472B2" w:rsidP="00B472B2">
      <w:pPr>
        <w:pStyle w:val="BodyText"/>
        <w:ind w:left="720"/>
      </w:pPr>
      <w:r>
        <w:t>Orlando,</w:t>
      </w:r>
      <w:r>
        <w:rPr>
          <w:spacing w:val="-2"/>
        </w:rPr>
        <w:t xml:space="preserve"> </w:t>
      </w:r>
      <w:r>
        <w:t xml:space="preserve">FL </w:t>
      </w:r>
      <w:r>
        <w:rPr>
          <w:spacing w:val="-2"/>
        </w:rPr>
        <w:t>32816</w:t>
      </w:r>
    </w:p>
    <w:p w14:paraId="27E3EA1A" w14:textId="7A88C524" w:rsidR="0080310D" w:rsidRDefault="004830AF">
      <w:pPr>
        <w:pStyle w:val="BodyText"/>
        <w:ind w:left="719"/>
      </w:pPr>
      <w:r>
        <w:t>(407)</w:t>
      </w:r>
      <w:r>
        <w:rPr>
          <w:spacing w:val="-7"/>
        </w:rPr>
        <w:t xml:space="preserve"> </w:t>
      </w:r>
      <w:r>
        <w:t>823-</w:t>
      </w:r>
      <w:r w:rsidR="00B472B2">
        <w:rPr>
          <w:spacing w:val="-4"/>
        </w:rPr>
        <w:t>2605</w:t>
      </w:r>
    </w:p>
    <w:p w14:paraId="6D98AC87" w14:textId="77777777" w:rsidR="0080310D" w:rsidRDefault="004F5CDA">
      <w:pPr>
        <w:pStyle w:val="BodyText"/>
        <w:ind w:left="719"/>
      </w:pPr>
      <w:hyperlink r:id="rId84">
        <w:r w:rsidR="004830AF">
          <w:rPr>
            <w:color w:val="0000FF"/>
            <w:spacing w:val="-2"/>
            <w:u w:val="single" w:color="0000FF"/>
          </w:rPr>
          <w:t>Renee.Michel@ucf.edu</w:t>
        </w:r>
      </w:hyperlink>
    </w:p>
    <w:p w14:paraId="151FA305" w14:textId="77777777" w:rsidR="0080310D" w:rsidRDefault="0080310D">
      <w:pPr>
        <w:pStyle w:val="BodyText"/>
      </w:pPr>
    </w:p>
    <w:p w14:paraId="79BDA08C" w14:textId="3DEDB16D" w:rsidR="0080310D" w:rsidRDefault="00B472B2">
      <w:pPr>
        <w:pStyle w:val="BodyText"/>
        <w:ind w:left="720"/>
      </w:pPr>
      <w:r>
        <w:t>Melina Kinsey</w:t>
      </w:r>
    </w:p>
    <w:p w14:paraId="75E8A811" w14:textId="77777777" w:rsidR="00B472B2" w:rsidRDefault="00B472B2">
      <w:pPr>
        <w:pStyle w:val="BodyText"/>
        <w:ind w:left="720" w:right="4119"/>
      </w:pPr>
      <w:r>
        <w:t>Biological Safety Officer</w:t>
      </w:r>
    </w:p>
    <w:p w14:paraId="7AC521BA" w14:textId="7213D73C" w:rsidR="0080310D" w:rsidRDefault="00B472B2">
      <w:pPr>
        <w:pStyle w:val="BodyText"/>
        <w:ind w:left="720" w:right="4119"/>
      </w:pPr>
      <w:r>
        <w:t>3512 Perseus Loop Bldg 48</w:t>
      </w:r>
    </w:p>
    <w:p w14:paraId="77ABDAF9" w14:textId="0AABCEF7" w:rsidR="0080310D" w:rsidRDefault="004830AF">
      <w:pPr>
        <w:pStyle w:val="BodyText"/>
        <w:ind w:left="720"/>
      </w:pPr>
      <w:r>
        <w:t>Orlando,</w:t>
      </w:r>
      <w:r>
        <w:rPr>
          <w:spacing w:val="-2"/>
        </w:rPr>
        <w:t xml:space="preserve"> </w:t>
      </w:r>
      <w:r>
        <w:t xml:space="preserve">FL </w:t>
      </w:r>
      <w:r>
        <w:rPr>
          <w:spacing w:val="-2"/>
        </w:rPr>
        <w:t>328</w:t>
      </w:r>
      <w:r w:rsidR="00B472B2">
        <w:rPr>
          <w:spacing w:val="-2"/>
        </w:rPr>
        <w:t>16</w:t>
      </w:r>
    </w:p>
    <w:p w14:paraId="16FC6CC8" w14:textId="5F04B8F5" w:rsidR="0080310D" w:rsidRDefault="004830AF">
      <w:pPr>
        <w:pStyle w:val="BodyText"/>
        <w:ind w:left="720"/>
      </w:pPr>
      <w:r>
        <w:t>(407)</w:t>
      </w:r>
      <w:r>
        <w:rPr>
          <w:spacing w:val="-7"/>
        </w:rPr>
        <w:t xml:space="preserve"> </w:t>
      </w:r>
      <w:r w:rsidR="00B472B2">
        <w:t>823</w:t>
      </w:r>
      <w:r>
        <w:t>-</w:t>
      </w:r>
      <w:r w:rsidR="00B472B2">
        <w:rPr>
          <w:spacing w:val="-4"/>
        </w:rPr>
        <w:t>1526</w:t>
      </w:r>
    </w:p>
    <w:p w14:paraId="6CE604E7" w14:textId="77777777" w:rsidR="0080310D" w:rsidRDefault="004F5CDA">
      <w:pPr>
        <w:pStyle w:val="BodyText"/>
        <w:ind w:left="720"/>
      </w:pPr>
      <w:hyperlink r:id="rId85">
        <w:r w:rsidR="004830AF">
          <w:rPr>
            <w:color w:val="0000FF"/>
            <w:spacing w:val="-2"/>
            <w:u w:val="single" w:color="0000FF"/>
          </w:rPr>
          <w:t>Thaismary.Morales@ucf.edu</w:t>
        </w:r>
      </w:hyperlink>
    </w:p>
    <w:p w14:paraId="4F57005D" w14:textId="77777777" w:rsidR="0080310D" w:rsidRDefault="0080310D">
      <w:pPr>
        <w:pStyle w:val="BodyText"/>
        <w:sectPr w:rsidR="0080310D">
          <w:pgSz w:w="12240" w:h="15840"/>
          <w:pgMar w:top="1360" w:right="1080" w:bottom="1300" w:left="1080" w:header="0" w:footer="1100" w:gutter="0"/>
          <w:cols w:space="720"/>
        </w:sectPr>
      </w:pPr>
    </w:p>
    <w:p w14:paraId="57B5BFBC" w14:textId="77777777" w:rsidR="0080310D" w:rsidRDefault="004830AF">
      <w:pPr>
        <w:pStyle w:val="Heading1"/>
        <w:numPr>
          <w:ilvl w:val="0"/>
          <w:numId w:val="6"/>
        </w:numPr>
        <w:tabs>
          <w:tab w:val="left" w:pos="1483"/>
        </w:tabs>
        <w:spacing w:before="80"/>
        <w:ind w:left="1483" w:hanging="403"/>
      </w:pPr>
      <w:bookmarkStart w:id="18" w:name="18._ARCHIVES"/>
      <w:bookmarkEnd w:id="18"/>
      <w:r>
        <w:rPr>
          <w:spacing w:val="-2"/>
        </w:rPr>
        <w:lastRenderedPageBreak/>
        <w:t>ARCHIVES</w:t>
      </w:r>
    </w:p>
    <w:p w14:paraId="728961DD" w14:textId="77777777" w:rsidR="0080310D" w:rsidRDefault="0080310D">
      <w:pPr>
        <w:pStyle w:val="BodyText"/>
        <w:rPr>
          <w:b/>
        </w:rPr>
      </w:pPr>
    </w:p>
    <w:p w14:paraId="1B7C61EF" w14:textId="77777777" w:rsidR="0080310D" w:rsidRDefault="0080310D">
      <w:pPr>
        <w:pStyle w:val="BodyText"/>
        <w:rPr>
          <w:b/>
        </w:rPr>
      </w:pPr>
    </w:p>
    <w:p w14:paraId="0DC5D10A" w14:textId="77777777" w:rsidR="0080310D" w:rsidRDefault="004830AF">
      <w:pPr>
        <w:pStyle w:val="ListParagraph"/>
        <w:numPr>
          <w:ilvl w:val="0"/>
          <w:numId w:val="6"/>
        </w:numPr>
        <w:tabs>
          <w:tab w:val="left" w:pos="1481"/>
        </w:tabs>
        <w:ind w:left="1481" w:hanging="401"/>
        <w:rPr>
          <w:b/>
          <w:sz w:val="24"/>
        </w:rPr>
      </w:pPr>
      <w:bookmarkStart w:id="19" w:name="19._DISTRIBUTION"/>
      <w:bookmarkEnd w:id="19"/>
      <w:r>
        <w:rPr>
          <w:b/>
          <w:spacing w:val="-2"/>
          <w:sz w:val="24"/>
        </w:rPr>
        <w:t>DISTRIBUTION</w:t>
      </w:r>
    </w:p>
    <w:p w14:paraId="78F11D7C" w14:textId="77777777" w:rsidR="0080310D" w:rsidRDefault="0080310D">
      <w:pPr>
        <w:pStyle w:val="BodyText"/>
        <w:rPr>
          <w:b/>
        </w:rPr>
      </w:pPr>
    </w:p>
    <w:p w14:paraId="5505085F" w14:textId="77777777" w:rsidR="0080310D" w:rsidRDefault="004830AF">
      <w:pPr>
        <w:pStyle w:val="BodyText"/>
        <w:ind w:left="720"/>
      </w:pPr>
      <w:r>
        <w:t>This</w:t>
      </w:r>
      <w:r>
        <w:rPr>
          <w:spacing w:val="-5"/>
        </w:rPr>
        <w:t xml:space="preserve"> </w:t>
      </w:r>
      <w:r>
        <w:t>document</w:t>
      </w:r>
      <w:r>
        <w:rPr>
          <w:spacing w:val="-1"/>
        </w:rPr>
        <w:t xml:space="preserve"> </w:t>
      </w:r>
      <w:r>
        <w:t>is</w:t>
      </w:r>
      <w:r>
        <w:rPr>
          <w:spacing w:val="-2"/>
        </w:rPr>
        <w:t xml:space="preserve"> </w:t>
      </w:r>
      <w:r>
        <w:t>shared</w:t>
      </w:r>
      <w:r>
        <w:rPr>
          <w:spacing w:val="-1"/>
        </w:rPr>
        <w:t xml:space="preserve"> </w:t>
      </w:r>
      <w:r>
        <w:rPr>
          <w:spacing w:val="-2"/>
        </w:rPr>
        <w:t>through:</w:t>
      </w:r>
    </w:p>
    <w:p w14:paraId="3D1EF4C3" w14:textId="77777777" w:rsidR="0080310D" w:rsidRDefault="0080310D">
      <w:pPr>
        <w:pStyle w:val="BodyText"/>
        <w:spacing w:before="54"/>
        <w:rPr>
          <w:sz w:val="20"/>
        </w:rPr>
      </w:pPr>
    </w:p>
    <w:tbl>
      <w:tblPr>
        <w:tblW w:w="0" w:type="auto"/>
        <w:tblInd w:w="677" w:type="dxa"/>
        <w:tblLayout w:type="fixed"/>
        <w:tblCellMar>
          <w:left w:w="0" w:type="dxa"/>
          <w:right w:w="0" w:type="dxa"/>
        </w:tblCellMar>
        <w:tblLook w:val="01E0" w:firstRow="1" w:lastRow="1" w:firstColumn="1" w:lastColumn="1" w:noHBand="0" w:noVBand="0"/>
      </w:tblPr>
      <w:tblGrid>
        <w:gridCol w:w="2813"/>
        <w:gridCol w:w="3540"/>
        <w:gridCol w:w="2069"/>
      </w:tblGrid>
      <w:tr w:rsidR="0080310D" w14:paraId="16CC7CF2" w14:textId="77777777">
        <w:trPr>
          <w:trHeight w:val="272"/>
        </w:trPr>
        <w:tc>
          <w:tcPr>
            <w:tcW w:w="2813" w:type="dxa"/>
          </w:tcPr>
          <w:p w14:paraId="67A0A4EB" w14:textId="77777777" w:rsidR="0080310D" w:rsidRDefault="004830AF">
            <w:pPr>
              <w:pStyle w:val="TableParagraph"/>
              <w:spacing w:line="252" w:lineRule="exact"/>
              <w:ind w:left="50"/>
              <w:rPr>
                <w:sz w:val="24"/>
              </w:rPr>
            </w:pPr>
            <w:r>
              <w:rPr>
                <w:sz w:val="24"/>
              </w:rPr>
              <w:t>□</w:t>
            </w:r>
            <w:r>
              <w:rPr>
                <w:spacing w:val="-2"/>
                <w:sz w:val="24"/>
              </w:rPr>
              <w:t xml:space="preserve"> </w:t>
            </w:r>
            <w:r>
              <w:rPr>
                <w:sz w:val="24"/>
              </w:rPr>
              <w:t>EHS</w:t>
            </w:r>
            <w:r>
              <w:rPr>
                <w:spacing w:val="1"/>
                <w:sz w:val="24"/>
              </w:rPr>
              <w:t xml:space="preserve"> </w:t>
            </w:r>
            <w:r>
              <w:rPr>
                <w:spacing w:val="-4"/>
                <w:sz w:val="24"/>
              </w:rPr>
              <w:t>only</w:t>
            </w:r>
          </w:p>
        </w:tc>
        <w:tc>
          <w:tcPr>
            <w:tcW w:w="3540" w:type="dxa"/>
          </w:tcPr>
          <w:p w14:paraId="18E3C189" w14:textId="77777777" w:rsidR="0080310D" w:rsidRDefault="004830AF">
            <w:pPr>
              <w:pStyle w:val="TableParagraph"/>
              <w:spacing w:line="252" w:lineRule="exact"/>
              <w:ind w:left="493"/>
              <w:rPr>
                <w:sz w:val="24"/>
              </w:rPr>
            </w:pPr>
            <w:r>
              <w:rPr>
                <w:sz w:val="24"/>
              </w:rPr>
              <w:t>□</w:t>
            </w:r>
            <w:r>
              <w:rPr>
                <w:spacing w:val="-3"/>
                <w:sz w:val="24"/>
              </w:rPr>
              <w:t xml:space="preserve"> </w:t>
            </w:r>
            <w:r>
              <w:rPr>
                <w:sz w:val="24"/>
              </w:rPr>
              <w:t>Facility</w:t>
            </w:r>
            <w:r>
              <w:rPr>
                <w:spacing w:val="-3"/>
                <w:sz w:val="24"/>
              </w:rPr>
              <w:t xml:space="preserve"> </w:t>
            </w:r>
            <w:r>
              <w:rPr>
                <w:sz w:val="24"/>
              </w:rPr>
              <w:t xml:space="preserve">and </w:t>
            </w:r>
            <w:r>
              <w:rPr>
                <w:spacing w:val="-2"/>
                <w:sz w:val="24"/>
              </w:rPr>
              <w:t>Safety</w:t>
            </w:r>
          </w:p>
        </w:tc>
        <w:tc>
          <w:tcPr>
            <w:tcW w:w="2069" w:type="dxa"/>
          </w:tcPr>
          <w:p w14:paraId="74846967" w14:textId="77777777" w:rsidR="0080310D" w:rsidRDefault="004830AF">
            <w:pPr>
              <w:pStyle w:val="TableParagraph"/>
              <w:numPr>
                <w:ilvl w:val="0"/>
                <w:numId w:val="2"/>
              </w:numPr>
              <w:tabs>
                <w:tab w:val="left" w:pos="292"/>
              </w:tabs>
              <w:spacing w:line="252" w:lineRule="exact"/>
              <w:ind w:left="292" w:hanging="279"/>
              <w:rPr>
                <w:sz w:val="24"/>
              </w:rPr>
            </w:pPr>
            <w:r>
              <w:rPr>
                <w:sz w:val="24"/>
              </w:rPr>
              <w:t>UCF</w:t>
            </w:r>
            <w:r>
              <w:rPr>
                <w:spacing w:val="-2"/>
                <w:sz w:val="24"/>
              </w:rPr>
              <w:t xml:space="preserve"> community</w:t>
            </w:r>
          </w:p>
        </w:tc>
      </w:tr>
      <w:tr w:rsidR="0080310D" w14:paraId="2D48151C" w14:textId="77777777">
        <w:trPr>
          <w:trHeight w:val="275"/>
        </w:trPr>
        <w:tc>
          <w:tcPr>
            <w:tcW w:w="2813" w:type="dxa"/>
          </w:tcPr>
          <w:p w14:paraId="3DE21260" w14:textId="77777777" w:rsidR="0080310D" w:rsidRDefault="004830AF">
            <w:pPr>
              <w:pStyle w:val="TableParagraph"/>
              <w:spacing w:line="256" w:lineRule="exact"/>
              <w:ind w:left="50"/>
              <w:rPr>
                <w:sz w:val="24"/>
              </w:rPr>
            </w:pPr>
            <w:r>
              <w:rPr>
                <w:sz w:val="24"/>
              </w:rPr>
              <w:t>□</w:t>
            </w:r>
            <w:r>
              <w:rPr>
                <w:spacing w:val="-2"/>
                <w:sz w:val="24"/>
              </w:rPr>
              <w:t xml:space="preserve"> </w:t>
            </w:r>
            <w:r>
              <w:rPr>
                <w:sz w:val="24"/>
              </w:rPr>
              <w:t>Secured</w:t>
            </w:r>
            <w:r>
              <w:rPr>
                <w:spacing w:val="-1"/>
                <w:sz w:val="24"/>
              </w:rPr>
              <w:t xml:space="preserve"> </w:t>
            </w:r>
            <w:r>
              <w:rPr>
                <w:spacing w:val="-2"/>
                <w:sz w:val="24"/>
              </w:rPr>
              <w:t>Document</w:t>
            </w:r>
          </w:p>
        </w:tc>
        <w:tc>
          <w:tcPr>
            <w:tcW w:w="3540" w:type="dxa"/>
          </w:tcPr>
          <w:p w14:paraId="24E7CB23" w14:textId="77777777" w:rsidR="0080310D" w:rsidRDefault="004830AF">
            <w:pPr>
              <w:pStyle w:val="TableParagraph"/>
              <w:spacing w:line="256" w:lineRule="exact"/>
              <w:ind w:left="493"/>
              <w:rPr>
                <w:sz w:val="24"/>
              </w:rPr>
            </w:pPr>
            <w:r>
              <w:rPr>
                <w:sz w:val="24"/>
              </w:rPr>
              <w:t>□</w:t>
            </w:r>
            <w:r>
              <w:rPr>
                <w:spacing w:val="-1"/>
                <w:sz w:val="24"/>
              </w:rPr>
              <w:t xml:space="preserve"> </w:t>
            </w:r>
            <w:r>
              <w:rPr>
                <w:spacing w:val="-2"/>
                <w:sz w:val="24"/>
              </w:rPr>
              <w:t>Contractor</w:t>
            </w:r>
          </w:p>
        </w:tc>
        <w:tc>
          <w:tcPr>
            <w:tcW w:w="2069" w:type="dxa"/>
          </w:tcPr>
          <w:p w14:paraId="6B68C485" w14:textId="77777777" w:rsidR="0080310D" w:rsidRDefault="004830AF">
            <w:pPr>
              <w:pStyle w:val="TableParagraph"/>
              <w:numPr>
                <w:ilvl w:val="0"/>
                <w:numId w:val="1"/>
              </w:numPr>
              <w:tabs>
                <w:tab w:val="left" w:pos="292"/>
              </w:tabs>
              <w:spacing w:line="256" w:lineRule="exact"/>
              <w:ind w:left="292" w:hanging="279"/>
              <w:rPr>
                <w:sz w:val="24"/>
              </w:rPr>
            </w:pPr>
            <w:r>
              <w:rPr>
                <w:sz w:val="24"/>
              </w:rPr>
              <w:t>EHS</w:t>
            </w:r>
            <w:r>
              <w:rPr>
                <w:spacing w:val="-5"/>
                <w:sz w:val="24"/>
              </w:rPr>
              <w:t xml:space="preserve"> </w:t>
            </w:r>
            <w:r>
              <w:rPr>
                <w:sz w:val="24"/>
              </w:rPr>
              <w:t>Web</w:t>
            </w:r>
            <w:r>
              <w:rPr>
                <w:spacing w:val="3"/>
                <w:sz w:val="24"/>
              </w:rPr>
              <w:t xml:space="preserve"> </w:t>
            </w:r>
            <w:r>
              <w:rPr>
                <w:spacing w:val="-4"/>
                <w:sz w:val="24"/>
              </w:rPr>
              <w:t>site</w:t>
            </w:r>
          </w:p>
        </w:tc>
      </w:tr>
      <w:tr w:rsidR="0080310D" w14:paraId="74D0BBE6" w14:textId="77777777">
        <w:trPr>
          <w:trHeight w:val="272"/>
        </w:trPr>
        <w:tc>
          <w:tcPr>
            <w:tcW w:w="6353" w:type="dxa"/>
            <w:gridSpan w:val="2"/>
          </w:tcPr>
          <w:p w14:paraId="415E9123" w14:textId="77777777" w:rsidR="0080310D" w:rsidRDefault="004830AF">
            <w:pPr>
              <w:pStyle w:val="TableParagraph"/>
              <w:tabs>
                <w:tab w:val="left" w:pos="6338"/>
              </w:tabs>
              <w:spacing w:line="252" w:lineRule="exact"/>
              <w:ind w:left="50"/>
              <w:rPr>
                <w:rFonts w:ascii="Times New Roman" w:hAnsi="Times New Roman"/>
                <w:sz w:val="24"/>
              </w:rPr>
            </w:pPr>
            <w:r>
              <w:rPr>
                <w:sz w:val="24"/>
              </w:rPr>
              <w:t xml:space="preserve">□ Other: </w:t>
            </w:r>
            <w:r>
              <w:rPr>
                <w:rFonts w:ascii="Times New Roman" w:hAnsi="Times New Roman"/>
                <w:sz w:val="24"/>
                <w:u w:val="single"/>
              </w:rPr>
              <w:tab/>
            </w:r>
          </w:p>
        </w:tc>
        <w:tc>
          <w:tcPr>
            <w:tcW w:w="2069" w:type="dxa"/>
          </w:tcPr>
          <w:p w14:paraId="63F2CDDE" w14:textId="77777777" w:rsidR="0080310D" w:rsidRDefault="0080310D">
            <w:pPr>
              <w:pStyle w:val="TableParagraph"/>
              <w:ind w:left="0"/>
              <w:rPr>
                <w:rFonts w:ascii="Times New Roman"/>
                <w:sz w:val="20"/>
              </w:rPr>
            </w:pPr>
          </w:p>
        </w:tc>
      </w:tr>
    </w:tbl>
    <w:p w14:paraId="06C5693C" w14:textId="77777777" w:rsidR="0080310D" w:rsidRDefault="0080310D">
      <w:pPr>
        <w:pStyle w:val="BodyText"/>
        <w:spacing w:before="1"/>
      </w:pPr>
    </w:p>
    <w:p w14:paraId="5E62CDE1" w14:textId="77777777" w:rsidR="0080310D" w:rsidRDefault="004830AF">
      <w:pPr>
        <w:pStyle w:val="ListParagraph"/>
        <w:numPr>
          <w:ilvl w:val="0"/>
          <w:numId w:val="6"/>
        </w:numPr>
        <w:tabs>
          <w:tab w:val="left" w:pos="1481"/>
        </w:tabs>
        <w:ind w:left="1481" w:hanging="401"/>
        <w:rPr>
          <w:b/>
          <w:sz w:val="24"/>
        </w:rPr>
      </w:pPr>
      <w:bookmarkStart w:id="20" w:name="20._REVIEW"/>
      <w:bookmarkEnd w:id="20"/>
      <w:r>
        <w:rPr>
          <w:b/>
          <w:spacing w:val="-2"/>
          <w:sz w:val="24"/>
        </w:rPr>
        <w:t>REVIEW</w:t>
      </w:r>
    </w:p>
    <w:p w14:paraId="0F811B97" w14:textId="77777777" w:rsidR="0080310D" w:rsidRDefault="0080310D">
      <w:pPr>
        <w:pStyle w:val="BodyText"/>
        <w:spacing w:before="45"/>
        <w:rPr>
          <w:b/>
          <w:sz w:val="20"/>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2428"/>
        <w:gridCol w:w="3150"/>
        <w:gridCol w:w="1626"/>
      </w:tblGrid>
      <w:tr w:rsidR="0080310D" w14:paraId="72DCC3C8" w14:textId="77777777">
        <w:trPr>
          <w:trHeight w:val="275"/>
        </w:trPr>
        <w:tc>
          <w:tcPr>
            <w:tcW w:w="2342" w:type="dxa"/>
          </w:tcPr>
          <w:p w14:paraId="670C2414" w14:textId="77777777" w:rsidR="0080310D" w:rsidRDefault="0080310D">
            <w:pPr>
              <w:pStyle w:val="TableParagraph"/>
              <w:ind w:left="0"/>
              <w:rPr>
                <w:rFonts w:ascii="Times New Roman"/>
                <w:sz w:val="20"/>
              </w:rPr>
            </w:pPr>
          </w:p>
        </w:tc>
        <w:tc>
          <w:tcPr>
            <w:tcW w:w="2428" w:type="dxa"/>
          </w:tcPr>
          <w:p w14:paraId="57D10442" w14:textId="77777777" w:rsidR="0080310D" w:rsidRDefault="004830AF">
            <w:pPr>
              <w:pStyle w:val="TableParagraph"/>
              <w:spacing w:line="255" w:lineRule="exact"/>
              <w:ind w:left="5"/>
              <w:jc w:val="center"/>
              <w:rPr>
                <w:sz w:val="24"/>
              </w:rPr>
            </w:pPr>
            <w:r>
              <w:rPr>
                <w:spacing w:val="-4"/>
                <w:sz w:val="24"/>
              </w:rPr>
              <w:t>Name</w:t>
            </w:r>
          </w:p>
        </w:tc>
        <w:tc>
          <w:tcPr>
            <w:tcW w:w="3150" w:type="dxa"/>
          </w:tcPr>
          <w:p w14:paraId="089D2E86" w14:textId="77777777" w:rsidR="0080310D" w:rsidRDefault="004830AF">
            <w:pPr>
              <w:pStyle w:val="TableParagraph"/>
              <w:spacing w:line="255" w:lineRule="exact"/>
              <w:ind w:left="12"/>
              <w:jc w:val="center"/>
              <w:rPr>
                <w:sz w:val="24"/>
              </w:rPr>
            </w:pPr>
            <w:r>
              <w:rPr>
                <w:spacing w:val="-2"/>
                <w:sz w:val="24"/>
              </w:rPr>
              <w:t>Signature</w:t>
            </w:r>
          </w:p>
        </w:tc>
        <w:tc>
          <w:tcPr>
            <w:tcW w:w="1626" w:type="dxa"/>
          </w:tcPr>
          <w:p w14:paraId="110E764B" w14:textId="77777777" w:rsidR="0080310D" w:rsidRDefault="004830AF">
            <w:pPr>
              <w:pStyle w:val="TableParagraph"/>
              <w:spacing w:line="255" w:lineRule="exact"/>
              <w:ind w:left="14"/>
              <w:jc w:val="center"/>
              <w:rPr>
                <w:sz w:val="24"/>
              </w:rPr>
            </w:pPr>
            <w:r>
              <w:rPr>
                <w:spacing w:val="-4"/>
                <w:sz w:val="24"/>
              </w:rPr>
              <w:t>Date</w:t>
            </w:r>
          </w:p>
        </w:tc>
      </w:tr>
      <w:tr w:rsidR="0080310D" w14:paraId="76000A5C" w14:textId="77777777">
        <w:trPr>
          <w:trHeight w:val="1105"/>
        </w:trPr>
        <w:tc>
          <w:tcPr>
            <w:tcW w:w="2342" w:type="dxa"/>
          </w:tcPr>
          <w:p w14:paraId="1AA811D8" w14:textId="794A05E1" w:rsidR="0080310D" w:rsidRPr="00B472B2" w:rsidRDefault="00B472B2" w:rsidP="00B472B2">
            <w:pPr>
              <w:pStyle w:val="TableParagraph"/>
              <w:ind w:left="0"/>
              <w:jc w:val="center"/>
              <w:rPr>
                <w:sz w:val="24"/>
                <w:szCs w:val="24"/>
              </w:rPr>
            </w:pPr>
            <w:r>
              <w:rPr>
                <w:sz w:val="24"/>
                <w:szCs w:val="24"/>
              </w:rPr>
              <w:t>Biological Safety Officer</w:t>
            </w:r>
          </w:p>
        </w:tc>
        <w:tc>
          <w:tcPr>
            <w:tcW w:w="2428" w:type="dxa"/>
          </w:tcPr>
          <w:p w14:paraId="3CC13A86" w14:textId="49A9A8CF" w:rsidR="0080310D" w:rsidRPr="00B472B2" w:rsidRDefault="00B472B2" w:rsidP="00B472B2">
            <w:pPr>
              <w:pStyle w:val="TableParagraph"/>
              <w:ind w:left="0"/>
              <w:jc w:val="center"/>
              <w:rPr>
                <w:sz w:val="24"/>
                <w:szCs w:val="24"/>
              </w:rPr>
            </w:pPr>
            <w:r>
              <w:rPr>
                <w:sz w:val="24"/>
                <w:szCs w:val="24"/>
              </w:rPr>
              <w:t>Melina Kinsey</w:t>
            </w:r>
          </w:p>
        </w:tc>
        <w:tc>
          <w:tcPr>
            <w:tcW w:w="3150" w:type="dxa"/>
          </w:tcPr>
          <w:p w14:paraId="5BEF0337" w14:textId="3B60DABC" w:rsidR="0080310D" w:rsidRPr="003F63A7" w:rsidRDefault="003F63A7" w:rsidP="003F63A7">
            <w:pPr>
              <w:pStyle w:val="TableParagraph"/>
              <w:ind w:left="0"/>
              <w:jc w:val="center"/>
              <w:rPr>
                <w:rFonts w:ascii="Freestyle Script" w:hAnsi="Freestyle Script"/>
                <w:sz w:val="28"/>
                <w:szCs w:val="28"/>
              </w:rPr>
            </w:pPr>
            <w:r>
              <w:rPr>
                <w:rFonts w:ascii="Freestyle Script" w:hAnsi="Freestyle Script"/>
                <w:sz w:val="28"/>
                <w:szCs w:val="28"/>
              </w:rPr>
              <w:t>Melina K Kinsey</w:t>
            </w:r>
          </w:p>
        </w:tc>
        <w:tc>
          <w:tcPr>
            <w:tcW w:w="1626" w:type="dxa"/>
          </w:tcPr>
          <w:p w14:paraId="2EC6D249" w14:textId="77777777" w:rsidR="0080310D" w:rsidRDefault="00B472B2">
            <w:pPr>
              <w:pStyle w:val="TableParagraph"/>
              <w:ind w:left="0"/>
              <w:rPr>
                <w:sz w:val="24"/>
                <w:szCs w:val="24"/>
              </w:rPr>
            </w:pPr>
            <w:r>
              <w:rPr>
                <w:rFonts w:ascii="Times New Roman"/>
                <w:sz w:val="20"/>
              </w:rPr>
              <w:t xml:space="preserve">  </w:t>
            </w:r>
            <w:r>
              <w:rPr>
                <w:sz w:val="24"/>
                <w:szCs w:val="24"/>
              </w:rPr>
              <w:t>7/1</w:t>
            </w:r>
            <w:r w:rsidR="00FF7E36">
              <w:rPr>
                <w:sz w:val="24"/>
                <w:szCs w:val="24"/>
              </w:rPr>
              <w:t>5</w:t>
            </w:r>
            <w:r>
              <w:rPr>
                <w:sz w:val="24"/>
                <w:szCs w:val="24"/>
              </w:rPr>
              <w:t>/2026</w:t>
            </w:r>
          </w:p>
          <w:p w14:paraId="2C8F3735" w14:textId="77777777" w:rsidR="00FF7E36" w:rsidRPr="00FF7E36" w:rsidRDefault="00FF7E36" w:rsidP="00FF7E36"/>
          <w:p w14:paraId="458E9DC4" w14:textId="77777777" w:rsidR="00FF7E36" w:rsidRDefault="00FF7E36" w:rsidP="00FF7E36">
            <w:pPr>
              <w:rPr>
                <w:sz w:val="24"/>
                <w:szCs w:val="24"/>
              </w:rPr>
            </w:pPr>
          </w:p>
          <w:p w14:paraId="7B5B3B54" w14:textId="0D45B071" w:rsidR="00FF7E36" w:rsidRPr="00FF7E36" w:rsidRDefault="00FF7E36" w:rsidP="00FF7E36"/>
        </w:tc>
      </w:tr>
    </w:tbl>
    <w:p w14:paraId="7A9A6D92" w14:textId="77777777" w:rsidR="0080310D" w:rsidRDefault="0080310D">
      <w:pPr>
        <w:pStyle w:val="BodyText"/>
        <w:spacing w:before="2"/>
        <w:rPr>
          <w:b/>
        </w:rPr>
      </w:pPr>
    </w:p>
    <w:p w14:paraId="116A6783" w14:textId="77777777" w:rsidR="0080310D" w:rsidRDefault="004830AF">
      <w:pPr>
        <w:pStyle w:val="ListParagraph"/>
        <w:numPr>
          <w:ilvl w:val="0"/>
          <w:numId w:val="6"/>
        </w:numPr>
        <w:tabs>
          <w:tab w:val="left" w:pos="1481"/>
        </w:tabs>
        <w:spacing w:before="1"/>
        <w:ind w:left="1481" w:hanging="401"/>
        <w:rPr>
          <w:b/>
          <w:sz w:val="24"/>
        </w:rPr>
      </w:pPr>
      <w:bookmarkStart w:id="21" w:name="21._DOCUMENT_HISTORY"/>
      <w:bookmarkEnd w:id="21"/>
      <w:r>
        <w:rPr>
          <w:b/>
          <w:sz w:val="24"/>
        </w:rPr>
        <w:t>DOCUMENT</w:t>
      </w:r>
      <w:r>
        <w:rPr>
          <w:b/>
          <w:spacing w:val="-5"/>
          <w:sz w:val="24"/>
        </w:rPr>
        <w:t xml:space="preserve"> </w:t>
      </w:r>
      <w:r>
        <w:rPr>
          <w:b/>
          <w:spacing w:val="-2"/>
          <w:sz w:val="24"/>
        </w:rPr>
        <w:t>HISTORY</w:t>
      </w:r>
    </w:p>
    <w:p w14:paraId="3A11CE9A" w14:textId="77777777" w:rsidR="0080310D" w:rsidRDefault="0080310D">
      <w:pPr>
        <w:pStyle w:val="BodyText"/>
        <w:spacing w:before="45"/>
        <w:rPr>
          <w:b/>
          <w:sz w:val="20"/>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1"/>
        <w:gridCol w:w="1315"/>
        <w:gridCol w:w="2573"/>
        <w:gridCol w:w="3067"/>
      </w:tblGrid>
      <w:tr w:rsidR="0080310D" w14:paraId="62E3F4AA" w14:textId="77777777">
        <w:trPr>
          <w:trHeight w:val="551"/>
        </w:trPr>
        <w:tc>
          <w:tcPr>
            <w:tcW w:w="2621" w:type="dxa"/>
          </w:tcPr>
          <w:p w14:paraId="582FC4C2" w14:textId="77777777" w:rsidR="0080310D" w:rsidRDefault="004830AF">
            <w:pPr>
              <w:pStyle w:val="TableParagraph"/>
              <w:ind w:left="5"/>
              <w:jc w:val="center"/>
              <w:rPr>
                <w:b/>
                <w:sz w:val="24"/>
              </w:rPr>
            </w:pPr>
            <w:r>
              <w:rPr>
                <w:b/>
                <w:spacing w:val="-4"/>
                <w:sz w:val="24"/>
              </w:rPr>
              <w:t>Date</w:t>
            </w:r>
          </w:p>
        </w:tc>
        <w:tc>
          <w:tcPr>
            <w:tcW w:w="1315" w:type="dxa"/>
          </w:tcPr>
          <w:p w14:paraId="3B9C2603" w14:textId="77777777" w:rsidR="0080310D" w:rsidRDefault="004830AF">
            <w:pPr>
              <w:pStyle w:val="TableParagraph"/>
              <w:spacing w:line="270" w:lineRule="atLeast"/>
              <w:ind w:left="215" w:right="143" w:hanging="58"/>
              <w:rPr>
                <w:b/>
                <w:sz w:val="24"/>
              </w:rPr>
            </w:pPr>
            <w:r>
              <w:rPr>
                <w:b/>
                <w:spacing w:val="-2"/>
                <w:sz w:val="24"/>
              </w:rPr>
              <w:t>Revision number</w:t>
            </w:r>
          </w:p>
        </w:tc>
        <w:tc>
          <w:tcPr>
            <w:tcW w:w="2573" w:type="dxa"/>
          </w:tcPr>
          <w:p w14:paraId="706B0B44" w14:textId="77777777" w:rsidR="0080310D" w:rsidRDefault="004830AF">
            <w:pPr>
              <w:pStyle w:val="TableParagraph"/>
              <w:ind w:left="6"/>
              <w:jc w:val="center"/>
              <w:rPr>
                <w:b/>
                <w:sz w:val="24"/>
              </w:rPr>
            </w:pPr>
            <w:r>
              <w:rPr>
                <w:b/>
                <w:spacing w:val="-2"/>
                <w:sz w:val="24"/>
              </w:rPr>
              <w:t>Author</w:t>
            </w:r>
          </w:p>
        </w:tc>
        <w:tc>
          <w:tcPr>
            <w:tcW w:w="3067" w:type="dxa"/>
          </w:tcPr>
          <w:p w14:paraId="559C2929" w14:textId="77777777" w:rsidR="0080310D" w:rsidRDefault="004830AF">
            <w:pPr>
              <w:pStyle w:val="TableParagraph"/>
              <w:ind w:left="757"/>
              <w:rPr>
                <w:b/>
                <w:sz w:val="24"/>
              </w:rPr>
            </w:pPr>
            <w:r>
              <w:rPr>
                <w:b/>
                <w:spacing w:val="-2"/>
                <w:sz w:val="24"/>
              </w:rPr>
              <w:t>Modifications</w:t>
            </w:r>
          </w:p>
        </w:tc>
      </w:tr>
      <w:tr w:rsidR="0080310D" w14:paraId="35A2EAE8" w14:textId="77777777">
        <w:trPr>
          <w:trHeight w:val="275"/>
        </w:trPr>
        <w:tc>
          <w:tcPr>
            <w:tcW w:w="2621" w:type="dxa"/>
          </w:tcPr>
          <w:p w14:paraId="5E2E17BD" w14:textId="77777777" w:rsidR="0080310D" w:rsidRDefault="004830AF">
            <w:pPr>
              <w:pStyle w:val="TableParagraph"/>
              <w:spacing w:line="255" w:lineRule="exact"/>
              <w:rPr>
                <w:sz w:val="24"/>
              </w:rPr>
            </w:pPr>
            <w:r>
              <w:rPr>
                <w:spacing w:val="-2"/>
                <w:sz w:val="24"/>
              </w:rPr>
              <w:t>07/01/2019</w:t>
            </w:r>
          </w:p>
        </w:tc>
        <w:tc>
          <w:tcPr>
            <w:tcW w:w="1315" w:type="dxa"/>
          </w:tcPr>
          <w:p w14:paraId="2951A2C6" w14:textId="77777777" w:rsidR="0080310D" w:rsidRDefault="004830AF">
            <w:pPr>
              <w:pStyle w:val="TableParagraph"/>
              <w:spacing w:line="255" w:lineRule="exact"/>
              <w:rPr>
                <w:sz w:val="24"/>
              </w:rPr>
            </w:pPr>
            <w:r>
              <w:rPr>
                <w:spacing w:val="-10"/>
                <w:sz w:val="24"/>
              </w:rPr>
              <w:t>0</w:t>
            </w:r>
          </w:p>
        </w:tc>
        <w:tc>
          <w:tcPr>
            <w:tcW w:w="2573" w:type="dxa"/>
          </w:tcPr>
          <w:p w14:paraId="3BDE5C19" w14:textId="77777777" w:rsidR="0080310D" w:rsidRDefault="004830AF">
            <w:pPr>
              <w:pStyle w:val="TableParagraph"/>
              <w:spacing w:line="255" w:lineRule="exact"/>
              <w:rPr>
                <w:sz w:val="24"/>
              </w:rPr>
            </w:pPr>
            <w:r>
              <w:rPr>
                <w:sz w:val="24"/>
              </w:rPr>
              <w:t>Thaismary</w:t>
            </w:r>
            <w:r>
              <w:rPr>
                <w:spacing w:val="-5"/>
                <w:sz w:val="24"/>
              </w:rPr>
              <w:t xml:space="preserve"> </w:t>
            </w:r>
            <w:r>
              <w:rPr>
                <w:spacing w:val="-2"/>
                <w:sz w:val="24"/>
              </w:rPr>
              <w:t>Morales</w:t>
            </w:r>
          </w:p>
        </w:tc>
        <w:tc>
          <w:tcPr>
            <w:tcW w:w="3067" w:type="dxa"/>
          </w:tcPr>
          <w:p w14:paraId="5C800093" w14:textId="77777777" w:rsidR="0080310D" w:rsidRDefault="004830AF">
            <w:pPr>
              <w:pStyle w:val="TableParagraph"/>
              <w:spacing w:line="255" w:lineRule="exact"/>
              <w:ind w:left="105"/>
              <w:rPr>
                <w:sz w:val="24"/>
              </w:rPr>
            </w:pPr>
            <w:r>
              <w:rPr>
                <w:sz w:val="24"/>
              </w:rPr>
              <w:t>Annual</w:t>
            </w:r>
            <w:r>
              <w:rPr>
                <w:spacing w:val="-4"/>
                <w:sz w:val="24"/>
              </w:rPr>
              <w:t xml:space="preserve"> </w:t>
            </w:r>
            <w:r>
              <w:rPr>
                <w:spacing w:val="-2"/>
                <w:sz w:val="24"/>
              </w:rPr>
              <w:t>review</w:t>
            </w:r>
          </w:p>
        </w:tc>
      </w:tr>
      <w:tr w:rsidR="0080310D" w14:paraId="743BBA55" w14:textId="77777777">
        <w:trPr>
          <w:trHeight w:val="275"/>
        </w:trPr>
        <w:tc>
          <w:tcPr>
            <w:tcW w:w="2621" w:type="dxa"/>
          </w:tcPr>
          <w:p w14:paraId="461AA883" w14:textId="77777777" w:rsidR="0080310D" w:rsidRDefault="004830AF">
            <w:pPr>
              <w:pStyle w:val="TableParagraph"/>
              <w:spacing w:line="255" w:lineRule="exact"/>
              <w:rPr>
                <w:sz w:val="24"/>
              </w:rPr>
            </w:pPr>
            <w:r>
              <w:rPr>
                <w:spacing w:val="-2"/>
                <w:sz w:val="24"/>
              </w:rPr>
              <w:t>5/14/2020</w:t>
            </w:r>
          </w:p>
        </w:tc>
        <w:tc>
          <w:tcPr>
            <w:tcW w:w="1315" w:type="dxa"/>
          </w:tcPr>
          <w:p w14:paraId="07BF8874" w14:textId="77777777" w:rsidR="0080310D" w:rsidRDefault="004830AF">
            <w:pPr>
              <w:pStyle w:val="TableParagraph"/>
              <w:spacing w:line="255" w:lineRule="exact"/>
              <w:rPr>
                <w:sz w:val="24"/>
              </w:rPr>
            </w:pPr>
            <w:r>
              <w:rPr>
                <w:spacing w:val="-10"/>
                <w:sz w:val="24"/>
              </w:rPr>
              <w:t>1</w:t>
            </w:r>
          </w:p>
        </w:tc>
        <w:tc>
          <w:tcPr>
            <w:tcW w:w="2573" w:type="dxa"/>
          </w:tcPr>
          <w:p w14:paraId="59E27BF7" w14:textId="77777777" w:rsidR="0080310D" w:rsidRDefault="004830AF">
            <w:pPr>
              <w:pStyle w:val="TableParagraph"/>
              <w:spacing w:line="255" w:lineRule="exact"/>
              <w:rPr>
                <w:sz w:val="24"/>
              </w:rPr>
            </w:pPr>
            <w:r>
              <w:rPr>
                <w:sz w:val="24"/>
              </w:rPr>
              <w:t>Thaismary</w:t>
            </w:r>
            <w:r>
              <w:rPr>
                <w:spacing w:val="-5"/>
                <w:sz w:val="24"/>
              </w:rPr>
              <w:t xml:space="preserve"> </w:t>
            </w:r>
            <w:r>
              <w:rPr>
                <w:spacing w:val="-2"/>
                <w:sz w:val="24"/>
              </w:rPr>
              <w:t>Morales</w:t>
            </w:r>
          </w:p>
        </w:tc>
        <w:tc>
          <w:tcPr>
            <w:tcW w:w="3067" w:type="dxa"/>
          </w:tcPr>
          <w:p w14:paraId="60BAAAEA" w14:textId="77777777" w:rsidR="0080310D" w:rsidRDefault="004830AF">
            <w:pPr>
              <w:pStyle w:val="TableParagraph"/>
              <w:spacing w:line="255" w:lineRule="exact"/>
              <w:ind w:left="105"/>
              <w:rPr>
                <w:sz w:val="24"/>
              </w:rPr>
            </w:pPr>
            <w:r>
              <w:rPr>
                <w:sz w:val="24"/>
              </w:rPr>
              <w:t>Annual</w:t>
            </w:r>
            <w:r>
              <w:rPr>
                <w:spacing w:val="-4"/>
                <w:sz w:val="24"/>
              </w:rPr>
              <w:t xml:space="preserve"> </w:t>
            </w:r>
            <w:r>
              <w:rPr>
                <w:spacing w:val="-2"/>
                <w:sz w:val="24"/>
              </w:rPr>
              <w:t>review</w:t>
            </w:r>
          </w:p>
        </w:tc>
      </w:tr>
      <w:tr w:rsidR="0080310D" w14:paraId="4E880177" w14:textId="77777777">
        <w:trPr>
          <w:trHeight w:val="275"/>
        </w:trPr>
        <w:tc>
          <w:tcPr>
            <w:tcW w:w="2621" w:type="dxa"/>
          </w:tcPr>
          <w:p w14:paraId="32683B3A" w14:textId="77777777" w:rsidR="0080310D" w:rsidRDefault="004830AF">
            <w:pPr>
              <w:pStyle w:val="TableParagraph"/>
              <w:spacing w:line="255" w:lineRule="exact"/>
              <w:rPr>
                <w:sz w:val="24"/>
              </w:rPr>
            </w:pPr>
            <w:r>
              <w:rPr>
                <w:spacing w:val="-2"/>
                <w:sz w:val="24"/>
              </w:rPr>
              <w:t>7/21/2021</w:t>
            </w:r>
          </w:p>
        </w:tc>
        <w:tc>
          <w:tcPr>
            <w:tcW w:w="1315" w:type="dxa"/>
          </w:tcPr>
          <w:p w14:paraId="63B4ECB8" w14:textId="77777777" w:rsidR="0080310D" w:rsidRDefault="004830AF">
            <w:pPr>
              <w:pStyle w:val="TableParagraph"/>
              <w:spacing w:line="255" w:lineRule="exact"/>
              <w:rPr>
                <w:sz w:val="24"/>
              </w:rPr>
            </w:pPr>
            <w:r>
              <w:rPr>
                <w:spacing w:val="-10"/>
                <w:sz w:val="24"/>
              </w:rPr>
              <w:t>2</w:t>
            </w:r>
          </w:p>
        </w:tc>
        <w:tc>
          <w:tcPr>
            <w:tcW w:w="2573" w:type="dxa"/>
          </w:tcPr>
          <w:p w14:paraId="2EEA4814" w14:textId="77777777" w:rsidR="0080310D" w:rsidRDefault="004830AF">
            <w:pPr>
              <w:pStyle w:val="TableParagraph"/>
              <w:spacing w:line="255" w:lineRule="exact"/>
              <w:rPr>
                <w:sz w:val="24"/>
              </w:rPr>
            </w:pPr>
            <w:r>
              <w:rPr>
                <w:sz w:val="24"/>
              </w:rPr>
              <w:t>Thaismary</w:t>
            </w:r>
            <w:r>
              <w:rPr>
                <w:spacing w:val="-5"/>
                <w:sz w:val="24"/>
              </w:rPr>
              <w:t xml:space="preserve"> </w:t>
            </w:r>
            <w:r>
              <w:rPr>
                <w:spacing w:val="-2"/>
                <w:sz w:val="24"/>
              </w:rPr>
              <w:t>Morales</w:t>
            </w:r>
          </w:p>
        </w:tc>
        <w:tc>
          <w:tcPr>
            <w:tcW w:w="3067" w:type="dxa"/>
          </w:tcPr>
          <w:p w14:paraId="6CDBFD0E" w14:textId="77777777" w:rsidR="0080310D" w:rsidRDefault="004830AF">
            <w:pPr>
              <w:pStyle w:val="TableParagraph"/>
              <w:spacing w:line="255" w:lineRule="exact"/>
              <w:ind w:left="105"/>
              <w:rPr>
                <w:sz w:val="24"/>
              </w:rPr>
            </w:pPr>
            <w:r>
              <w:rPr>
                <w:sz w:val="24"/>
              </w:rPr>
              <w:t>Annual</w:t>
            </w:r>
            <w:r>
              <w:rPr>
                <w:spacing w:val="-4"/>
                <w:sz w:val="24"/>
              </w:rPr>
              <w:t xml:space="preserve"> </w:t>
            </w:r>
            <w:r>
              <w:rPr>
                <w:spacing w:val="-2"/>
                <w:sz w:val="24"/>
              </w:rPr>
              <w:t>review</w:t>
            </w:r>
          </w:p>
        </w:tc>
      </w:tr>
      <w:tr w:rsidR="0080310D" w14:paraId="2EDB8B8B" w14:textId="77777777">
        <w:trPr>
          <w:trHeight w:val="278"/>
        </w:trPr>
        <w:tc>
          <w:tcPr>
            <w:tcW w:w="2621" w:type="dxa"/>
          </w:tcPr>
          <w:p w14:paraId="52AD03FA" w14:textId="77777777" w:rsidR="0080310D" w:rsidRDefault="004830AF">
            <w:pPr>
              <w:pStyle w:val="TableParagraph"/>
              <w:spacing w:line="258" w:lineRule="exact"/>
              <w:rPr>
                <w:sz w:val="24"/>
              </w:rPr>
            </w:pPr>
            <w:r>
              <w:rPr>
                <w:spacing w:val="-2"/>
                <w:sz w:val="24"/>
              </w:rPr>
              <w:t>5/12/2022</w:t>
            </w:r>
          </w:p>
        </w:tc>
        <w:tc>
          <w:tcPr>
            <w:tcW w:w="1315" w:type="dxa"/>
          </w:tcPr>
          <w:p w14:paraId="527E6E2D" w14:textId="77777777" w:rsidR="0080310D" w:rsidRDefault="004830AF">
            <w:pPr>
              <w:pStyle w:val="TableParagraph"/>
              <w:spacing w:line="258" w:lineRule="exact"/>
              <w:rPr>
                <w:sz w:val="24"/>
              </w:rPr>
            </w:pPr>
            <w:r>
              <w:rPr>
                <w:spacing w:val="-10"/>
                <w:sz w:val="24"/>
              </w:rPr>
              <w:t>3</w:t>
            </w:r>
          </w:p>
        </w:tc>
        <w:tc>
          <w:tcPr>
            <w:tcW w:w="2573" w:type="dxa"/>
          </w:tcPr>
          <w:p w14:paraId="5755A4D0" w14:textId="77777777" w:rsidR="0080310D" w:rsidRDefault="004830AF">
            <w:pPr>
              <w:pStyle w:val="TableParagraph"/>
              <w:spacing w:line="258" w:lineRule="exact"/>
              <w:rPr>
                <w:sz w:val="24"/>
              </w:rPr>
            </w:pPr>
            <w:r>
              <w:rPr>
                <w:sz w:val="24"/>
              </w:rPr>
              <w:t>Thaismary</w:t>
            </w:r>
            <w:r>
              <w:rPr>
                <w:spacing w:val="-5"/>
                <w:sz w:val="24"/>
              </w:rPr>
              <w:t xml:space="preserve"> </w:t>
            </w:r>
            <w:r>
              <w:rPr>
                <w:spacing w:val="-2"/>
                <w:sz w:val="24"/>
              </w:rPr>
              <w:t>Morales</w:t>
            </w:r>
          </w:p>
        </w:tc>
        <w:tc>
          <w:tcPr>
            <w:tcW w:w="3067" w:type="dxa"/>
          </w:tcPr>
          <w:p w14:paraId="0BA0B20E" w14:textId="77777777" w:rsidR="0080310D" w:rsidRDefault="004830AF">
            <w:pPr>
              <w:pStyle w:val="TableParagraph"/>
              <w:spacing w:line="258" w:lineRule="exact"/>
              <w:ind w:left="105"/>
              <w:rPr>
                <w:sz w:val="24"/>
              </w:rPr>
            </w:pPr>
            <w:r>
              <w:rPr>
                <w:sz w:val="24"/>
              </w:rPr>
              <w:t>Annual</w:t>
            </w:r>
            <w:r>
              <w:rPr>
                <w:spacing w:val="-4"/>
                <w:sz w:val="24"/>
              </w:rPr>
              <w:t xml:space="preserve"> </w:t>
            </w:r>
            <w:r>
              <w:rPr>
                <w:spacing w:val="-2"/>
                <w:sz w:val="24"/>
              </w:rPr>
              <w:t>review</w:t>
            </w:r>
          </w:p>
        </w:tc>
      </w:tr>
      <w:tr w:rsidR="00B472B2" w14:paraId="5F6A87FB" w14:textId="77777777">
        <w:trPr>
          <w:trHeight w:val="278"/>
        </w:trPr>
        <w:tc>
          <w:tcPr>
            <w:tcW w:w="2621" w:type="dxa"/>
          </w:tcPr>
          <w:p w14:paraId="53EC2D89" w14:textId="76561459" w:rsidR="00B472B2" w:rsidRDefault="00B472B2">
            <w:pPr>
              <w:pStyle w:val="TableParagraph"/>
              <w:spacing w:line="258" w:lineRule="exact"/>
              <w:rPr>
                <w:spacing w:val="-2"/>
                <w:sz w:val="24"/>
              </w:rPr>
            </w:pPr>
            <w:r>
              <w:rPr>
                <w:spacing w:val="-2"/>
                <w:sz w:val="24"/>
              </w:rPr>
              <w:t>7/15/2026</w:t>
            </w:r>
          </w:p>
        </w:tc>
        <w:tc>
          <w:tcPr>
            <w:tcW w:w="1315" w:type="dxa"/>
          </w:tcPr>
          <w:p w14:paraId="269BC926" w14:textId="5F578374" w:rsidR="00B472B2" w:rsidRDefault="00B472B2">
            <w:pPr>
              <w:pStyle w:val="TableParagraph"/>
              <w:spacing w:line="258" w:lineRule="exact"/>
              <w:rPr>
                <w:spacing w:val="-10"/>
                <w:sz w:val="24"/>
              </w:rPr>
            </w:pPr>
            <w:r>
              <w:rPr>
                <w:spacing w:val="-10"/>
                <w:sz w:val="24"/>
              </w:rPr>
              <w:t>4</w:t>
            </w:r>
          </w:p>
        </w:tc>
        <w:tc>
          <w:tcPr>
            <w:tcW w:w="2573" w:type="dxa"/>
          </w:tcPr>
          <w:p w14:paraId="41806B41" w14:textId="4BB8ED46" w:rsidR="00B472B2" w:rsidRDefault="00B472B2">
            <w:pPr>
              <w:pStyle w:val="TableParagraph"/>
              <w:spacing w:line="258" w:lineRule="exact"/>
              <w:rPr>
                <w:sz w:val="24"/>
              </w:rPr>
            </w:pPr>
            <w:r>
              <w:rPr>
                <w:sz w:val="24"/>
              </w:rPr>
              <w:t>Melina Kinsey</w:t>
            </w:r>
          </w:p>
        </w:tc>
        <w:tc>
          <w:tcPr>
            <w:tcW w:w="3067" w:type="dxa"/>
          </w:tcPr>
          <w:p w14:paraId="769F7C25" w14:textId="0ADBB385" w:rsidR="00B472B2" w:rsidRDefault="00B472B2">
            <w:pPr>
              <w:pStyle w:val="TableParagraph"/>
              <w:spacing w:line="258" w:lineRule="exact"/>
              <w:ind w:left="105"/>
              <w:rPr>
                <w:sz w:val="24"/>
              </w:rPr>
            </w:pPr>
            <w:r>
              <w:rPr>
                <w:sz w:val="24"/>
              </w:rPr>
              <w:t>Minor edits</w:t>
            </w:r>
          </w:p>
        </w:tc>
      </w:tr>
    </w:tbl>
    <w:p w14:paraId="37851FC6" w14:textId="77777777" w:rsidR="00AF6FD9" w:rsidRDefault="00AF6FD9"/>
    <w:sectPr w:rsidR="00AF6FD9">
      <w:pgSz w:w="12240" w:h="15840"/>
      <w:pgMar w:top="1360" w:right="1080" w:bottom="1300" w:left="1080" w:header="0" w:footer="1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1DAC2" w14:textId="77777777" w:rsidR="004F5CDA" w:rsidRDefault="004F5CDA">
      <w:r>
        <w:separator/>
      </w:r>
    </w:p>
  </w:endnote>
  <w:endnote w:type="continuationSeparator" w:id="0">
    <w:p w14:paraId="5F5EBAE9" w14:textId="77777777" w:rsidR="004F5CDA" w:rsidRDefault="004F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37C23" w14:textId="77777777" w:rsidR="0080310D" w:rsidRDefault="004830AF">
    <w:pPr>
      <w:pStyle w:val="BodyText"/>
      <w:spacing w:line="14" w:lineRule="auto"/>
      <w:rPr>
        <w:sz w:val="20"/>
      </w:rPr>
    </w:pPr>
    <w:r>
      <w:rPr>
        <w:noProof/>
        <w:sz w:val="20"/>
      </w:rPr>
      <mc:AlternateContent>
        <mc:Choice Requires="wps">
          <w:drawing>
            <wp:anchor distT="0" distB="0" distL="0" distR="0" simplePos="0" relativeHeight="487201280" behindDoc="1" locked="0" layoutInCell="1" allowOverlap="1" wp14:anchorId="352958B9" wp14:editId="0E3D7B77">
              <wp:simplePos x="0" y="0"/>
              <wp:positionH relativeFrom="page">
                <wp:posOffset>1124712</wp:posOffset>
              </wp:positionH>
              <wp:positionV relativeFrom="page">
                <wp:posOffset>9182100</wp:posOffset>
              </wp:positionV>
              <wp:extent cx="5523230" cy="565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230" cy="56515"/>
                      </a:xfrm>
                      <a:custGeom>
                        <a:avLst/>
                        <a:gdLst/>
                        <a:ahLst/>
                        <a:cxnLst/>
                        <a:rect l="l" t="t" r="r" b="b"/>
                        <a:pathLst>
                          <a:path w="5523230" h="56515">
                            <a:moveTo>
                              <a:pt x="5522976" y="47244"/>
                            </a:moveTo>
                            <a:lnTo>
                              <a:pt x="0" y="47244"/>
                            </a:lnTo>
                            <a:lnTo>
                              <a:pt x="0" y="56388"/>
                            </a:lnTo>
                            <a:lnTo>
                              <a:pt x="5522976" y="56388"/>
                            </a:lnTo>
                            <a:lnTo>
                              <a:pt x="5522976" y="47244"/>
                            </a:lnTo>
                            <a:close/>
                          </a:path>
                          <a:path w="5523230" h="56515">
                            <a:moveTo>
                              <a:pt x="5522976" y="0"/>
                            </a:moveTo>
                            <a:lnTo>
                              <a:pt x="0" y="0"/>
                            </a:lnTo>
                            <a:lnTo>
                              <a:pt x="0" y="38100"/>
                            </a:lnTo>
                            <a:lnTo>
                              <a:pt x="5522976" y="38100"/>
                            </a:lnTo>
                            <a:lnTo>
                              <a:pt x="5522976"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5828A791" id="Graphic 1" o:spid="_x0000_s1026" style="position:absolute;margin-left:88.55pt;margin-top:723pt;width:434.9pt;height:4.45pt;z-index:-16115200;visibility:visible;mso-wrap-style:square;mso-wrap-distance-left:0;mso-wrap-distance-top:0;mso-wrap-distance-right:0;mso-wrap-distance-bottom:0;mso-position-horizontal:absolute;mso-position-horizontal-relative:page;mso-position-vertical:absolute;mso-position-vertical-relative:page;v-text-anchor:top" coordsize="55232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" path="m5522976,47244l,47244r,9144l5522976,56388r,-9144xem5522976,l,,,38100r5522976,l5522976,xe" fillcolor="#612322" stroked="f">
              <v:path arrowok="t"/>
              <w10:wrap anchorx="page" anchory="page"/>
            </v:shape>
          </w:pict>
        </mc:Fallback>
      </mc:AlternateContent>
    </w:r>
    <w:r>
      <w:rPr>
        <w:noProof/>
        <w:sz w:val="20"/>
      </w:rPr>
      <mc:AlternateContent>
        <mc:Choice Requires="wps">
          <w:drawing>
            <wp:anchor distT="0" distB="0" distL="0" distR="0" simplePos="0" relativeHeight="487201792" behindDoc="1" locked="0" layoutInCell="1" allowOverlap="1" wp14:anchorId="67B637EE" wp14:editId="548C8C09">
              <wp:simplePos x="0" y="0"/>
              <wp:positionH relativeFrom="page">
                <wp:posOffset>1130300</wp:posOffset>
              </wp:positionH>
              <wp:positionV relativeFrom="page">
                <wp:posOffset>9243272</wp:posOffset>
              </wp:positionV>
              <wp:extent cx="999490" cy="3714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9490" cy="371475"/>
                      </a:xfrm>
                      <a:prstGeom prst="rect">
                        <a:avLst/>
                      </a:prstGeom>
                    </wps:spPr>
                    <wps:txbx>
                      <w:txbxContent>
                        <w:p w14:paraId="7828C975" w14:textId="77777777" w:rsidR="0080310D" w:rsidRDefault="004830AF">
                          <w:pPr>
                            <w:pStyle w:val="BodyText"/>
                            <w:spacing w:before="12"/>
                            <w:ind w:left="20"/>
                          </w:pPr>
                          <w:r>
                            <w:rPr>
                              <w:spacing w:val="-2"/>
                            </w:rPr>
                            <w:t>EHS_SOP350</w:t>
                          </w:r>
                        </w:p>
                        <w:p w14:paraId="4FC580E5" w14:textId="69FC816C" w:rsidR="0080310D" w:rsidRDefault="004830AF">
                          <w:pPr>
                            <w:pStyle w:val="BodyText"/>
                            <w:ind w:left="20"/>
                          </w:pPr>
                          <w:r>
                            <w:t>Rev</w:t>
                          </w:r>
                          <w:r>
                            <w:rPr>
                              <w:spacing w:val="-5"/>
                            </w:rPr>
                            <w:t xml:space="preserve"> </w:t>
                          </w:r>
                          <w:r w:rsidR="000B16A6">
                            <w:rPr>
                              <w:spacing w:val="-12"/>
                            </w:rPr>
                            <w:t>4</w:t>
                          </w:r>
                        </w:p>
                      </w:txbxContent>
                    </wps:txbx>
                    <wps:bodyPr wrap="square" lIns="0" tIns="0" rIns="0" bIns="0" rtlCol="0">
                      <a:noAutofit/>
                    </wps:bodyPr>
                  </wps:wsp>
                </a:graphicData>
              </a:graphic>
            </wp:anchor>
          </w:drawing>
        </mc:Choice>
        <mc:Fallback>
          <w:pict>
            <v:shapetype w14:anchorId="67B637EE" id="_x0000_t202" coordsize="21600,21600" o:spt="202" path="m,l,21600r21600,l21600,xe">
              <v:stroke joinstyle="miter"/>
              <v:path gradientshapeok="t" o:connecttype="rect"/>
            </v:shapetype>
            <v:shape id="Textbox 2" o:spid="_x0000_s1026" type="#_x0000_t202" style="position:absolute;margin-left:89pt;margin-top:727.8pt;width:78.7pt;height:29.25pt;z-index:-161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" filled="f" stroked="f">
              <v:textbox inset="0,0,0,0">
                <w:txbxContent>
                  <w:p w14:paraId="7828C975" w14:textId="77777777" w:rsidR="0080310D" w:rsidRDefault="004830AF">
                    <w:pPr>
                      <w:pStyle w:val="BodyText"/>
                      <w:spacing w:before="12"/>
                      <w:ind w:left="20"/>
                    </w:pPr>
                    <w:r>
                      <w:rPr>
                        <w:spacing w:val="-2"/>
                      </w:rPr>
                      <w:t>EHS_SOP350</w:t>
                    </w:r>
                  </w:p>
                  <w:p w14:paraId="4FC580E5" w14:textId="69FC816C" w:rsidR="0080310D" w:rsidRDefault="004830AF">
                    <w:pPr>
                      <w:pStyle w:val="BodyText"/>
                      <w:ind w:left="20"/>
                    </w:pPr>
                    <w:r>
                      <w:t>Rev</w:t>
                    </w:r>
                    <w:r>
                      <w:rPr>
                        <w:spacing w:val="-5"/>
                      </w:rPr>
                      <w:t xml:space="preserve"> </w:t>
                    </w:r>
                    <w:r w:rsidR="000B16A6">
                      <w:rPr>
                        <w:spacing w:val="-12"/>
                      </w:rPr>
                      <w:t>4</w:t>
                    </w:r>
                  </w:p>
                </w:txbxContent>
              </v:textbox>
              <w10:wrap anchorx="page" anchory="page"/>
            </v:shape>
          </w:pict>
        </mc:Fallback>
      </mc:AlternateContent>
    </w:r>
    <w:r>
      <w:rPr>
        <w:noProof/>
        <w:sz w:val="20"/>
      </w:rPr>
      <mc:AlternateContent>
        <mc:Choice Requires="wps">
          <w:drawing>
            <wp:anchor distT="0" distB="0" distL="0" distR="0" simplePos="0" relativeHeight="487202304" behindDoc="1" locked="0" layoutInCell="1" allowOverlap="1" wp14:anchorId="2EE528A9" wp14:editId="2855AABF">
              <wp:simplePos x="0" y="0"/>
              <wp:positionH relativeFrom="page">
                <wp:posOffset>2561335</wp:posOffset>
              </wp:positionH>
              <wp:positionV relativeFrom="page">
                <wp:posOffset>9243272</wp:posOffset>
              </wp:positionV>
              <wp:extent cx="2696210" cy="3714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6210" cy="371475"/>
                      </a:xfrm>
                      <a:prstGeom prst="rect">
                        <a:avLst/>
                      </a:prstGeom>
                    </wps:spPr>
                    <wps:txbx>
                      <w:txbxContent>
                        <w:p w14:paraId="6B91B5AE" w14:textId="77777777" w:rsidR="0080310D" w:rsidRDefault="004830AF">
                          <w:pPr>
                            <w:pStyle w:val="BodyText"/>
                            <w:spacing w:before="12"/>
                            <w:ind w:right="68"/>
                            <w:jc w:val="center"/>
                          </w:pPr>
                          <w:r>
                            <w:t>Page</w:t>
                          </w:r>
                          <w:r>
                            <w:rPr>
                              <w:spacing w:val="-1"/>
                            </w:rPr>
                            <w:t xml:space="preserve"> </w:t>
                          </w:r>
                          <w:r>
                            <w:rPr>
                              <w:spacing w:val="-4"/>
                            </w:rPr>
                            <w:fldChar w:fldCharType="begin"/>
                          </w:r>
                          <w:r>
                            <w:rPr>
                              <w:spacing w:val="-4"/>
                            </w:rPr>
                            <w:instrText xml:space="preserve"> PAGE </w:instrText>
                          </w:r>
                          <w:r>
                            <w:rPr>
                              <w:spacing w:val="-4"/>
                            </w:rPr>
                            <w:fldChar w:fldCharType="separate"/>
                          </w:r>
                          <w:r>
                            <w:rPr>
                              <w:spacing w:val="-4"/>
                            </w:rPr>
                            <w:t>10</w:t>
                          </w:r>
                          <w:r>
                            <w:rPr>
                              <w:spacing w:val="-4"/>
                            </w:rPr>
                            <w:fldChar w:fldCharType="end"/>
                          </w:r>
                          <w:r>
                            <w:rPr>
                              <w:spacing w:val="-4"/>
                            </w:rPr>
                            <w:t>/</w:t>
                          </w:r>
                          <w:r>
                            <w:rPr>
                              <w:spacing w:val="-4"/>
                            </w:rPr>
                            <w:fldChar w:fldCharType="begin"/>
                          </w:r>
                          <w:r>
                            <w:rPr>
                              <w:spacing w:val="-4"/>
                            </w:rPr>
                            <w:instrText xml:space="preserve"> NUMPAGES </w:instrText>
                          </w:r>
                          <w:r>
                            <w:rPr>
                              <w:spacing w:val="-4"/>
                            </w:rPr>
                            <w:fldChar w:fldCharType="separate"/>
                          </w:r>
                          <w:r>
                            <w:rPr>
                              <w:spacing w:val="-4"/>
                            </w:rPr>
                            <w:t>20</w:t>
                          </w:r>
                          <w:r>
                            <w:rPr>
                              <w:spacing w:val="-4"/>
                            </w:rPr>
                            <w:fldChar w:fldCharType="end"/>
                          </w:r>
                        </w:p>
                        <w:p w14:paraId="4FF3D576" w14:textId="77777777" w:rsidR="0080310D" w:rsidRDefault="004830AF">
                          <w:pPr>
                            <w:pStyle w:val="BodyText"/>
                            <w:jc w:val="center"/>
                          </w:pPr>
                          <w:r>
                            <w:t>All</w:t>
                          </w:r>
                          <w:r>
                            <w:rPr>
                              <w:spacing w:val="-2"/>
                            </w:rPr>
                            <w:t xml:space="preserve"> </w:t>
                          </w:r>
                          <w:r>
                            <w:t>Printed</w:t>
                          </w:r>
                          <w:r>
                            <w:rPr>
                              <w:spacing w:val="-2"/>
                            </w:rPr>
                            <w:t xml:space="preserve"> </w:t>
                          </w:r>
                          <w:r>
                            <w:t>Documents</w:t>
                          </w:r>
                          <w:r>
                            <w:rPr>
                              <w:spacing w:val="-4"/>
                            </w:rPr>
                            <w:t xml:space="preserve"> </w:t>
                          </w:r>
                          <w:r>
                            <w:t xml:space="preserve">are </w:t>
                          </w:r>
                          <w:r>
                            <w:rPr>
                              <w:spacing w:val="-2"/>
                            </w:rPr>
                            <w:t>Uncontrolled</w:t>
                          </w:r>
                        </w:p>
                      </w:txbxContent>
                    </wps:txbx>
                    <wps:bodyPr wrap="square" lIns="0" tIns="0" rIns="0" bIns="0" rtlCol="0">
                      <a:noAutofit/>
                    </wps:bodyPr>
                  </wps:wsp>
                </a:graphicData>
              </a:graphic>
            </wp:anchor>
          </w:drawing>
        </mc:Choice>
        <mc:Fallback>
          <w:pict>
            <v:shape w14:anchorId="2EE528A9" id="Textbox 3" o:spid="_x0000_s1027" type="#_x0000_t202" style="position:absolute;margin-left:201.7pt;margin-top:727.8pt;width:212.3pt;height:29.25pt;z-index:-161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" filled="f" stroked="f">
              <v:textbox inset="0,0,0,0">
                <w:txbxContent>
                  <w:p w14:paraId="6B91B5AE" w14:textId="77777777" w:rsidR="0080310D" w:rsidRDefault="004830AF">
                    <w:pPr>
                      <w:pStyle w:val="BodyText"/>
                      <w:spacing w:before="12"/>
                      <w:ind w:right="68"/>
                      <w:jc w:val="center"/>
                    </w:pPr>
                    <w:r>
                      <w:t>Page</w:t>
                    </w:r>
                    <w:r>
                      <w:rPr>
                        <w:spacing w:val="-1"/>
                      </w:rPr>
                      <w:t xml:space="preserve"> </w:t>
                    </w:r>
                    <w:r>
                      <w:rPr>
                        <w:spacing w:val="-4"/>
                      </w:rPr>
                      <w:fldChar w:fldCharType="begin"/>
                    </w:r>
                    <w:r>
                      <w:rPr>
                        <w:spacing w:val="-4"/>
                      </w:rPr>
                      <w:instrText xml:space="preserve"> PAGE </w:instrText>
                    </w:r>
                    <w:r>
                      <w:rPr>
                        <w:spacing w:val="-4"/>
                      </w:rPr>
                      <w:fldChar w:fldCharType="separate"/>
                    </w:r>
                    <w:r>
                      <w:rPr>
                        <w:spacing w:val="-4"/>
                      </w:rPr>
                      <w:t>10</w:t>
                    </w:r>
                    <w:r>
                      <w:rPr>
                        <w:spacing w:val="-4"/>
                      </w:rPr>
                      <w:fldChar w:fldCharType="end"/>
                    </w:r>
                    <w:r>
                      <w:rPr>
                        <w:spacing w:val="-4"/>
                      </w:rPr>
                      <w:t>/</w:t>
                    </w:r>
                    <w:r>
                      <w:rPr>
                        <w:spacing w:val="-4"/>
                      </w:rPr>
                      <w:fldChar w:fldCharType="begin"/>
                    </w:r>
                    <w:r>
                      <w:rPr>
                        <w:spacing w:val="-4"/>
                      </w:rPr>
                      <w:instrText xml:space="preserve"> NUMPAGES </w:instrText>
                    </w:r>
                    <w:r>
                      <w:rPr>
                        <w:spacing w:val="-4"/>
                      </w:rPr>
                      <w:fldChar w:fldCharType="separate"/>
                    </w:r>
                    <w:r>
                      <w:rPr>
                        <w:spacing w:val="-4"/>
                      </w:rPr>
                      <w:t>20</w:t>
                    </w:r>
                    <w:r>
                      <w:rPr>
                        <w:spacing w:val="-4"/>
                      </w:rPr>
                      <w:fldChar w:fldCharType="end"/>
                    </w:r>
                  </w:p>
                  <w:p w14:paraId="4FF3D576" w14:textId="77777777" w:rsidR="0080310D" w:rsidRDefault="004830AF">
                    <w:pPr>
                      <w:pStyle w:val="BodyText"/>
                      <w:jc w:val="center"/>
                    </w:pPr>
                    <w:r>
                      <w:t>All</w:t>
                    </w:r>
                    <w:r>
                      <w:rPr>
                        <w:spacing w:val="-2"/>
                      </w:rPr>
                      <w:t xml:space="preserve"> </w:t>
                    </w:r>
                    <w:r>
                      <w:t>Printed</w:t>
                    </w:r>
                    <w:r>
                      <w:rPr>
                        <w:spacing w:val="-2"/>
                      </w:rPr>
                      <w:t xml:space="preserve"> </w:t>
                    </w:r>
                    <w:r>
                      <w:t>Documents</w:t>
                    </w:r>
                    <w:r>
                      <w:rPr>
                        <w:spacing w:val="-4"/>
                      </w:rPr>
                      <w:t xml:space="preserve"> </w:t>
                    </w:r>
                    <w:r>
                      <w:t xml:space="preserve">are </w:t>
                    </w:r>
                    <w:r>
                      <w:rPr>
                        <w:spacing w:val="-2"/>
                      </w:rPr>
                      <w:t>Uncontrolled</w:t>
                    </w:r>
                  </w:p>
                </w:txbxContent>
              </v:textbox>
              <w10:wrap anchorx="page" anchory="page"/>
            </v:shape>
          </w:pict>
        </mc:Fallback>
      </mc:AlternateContent>
    </w:r>
    <w:r>
      <w:rPr>
        <w:noProof/>
        <w:sz w:val="20"/>
      </w:rPr>
      <mc:AlternateContent>
        <mc:Choice Requires="wps">
          <w:drawing>
            <wp:anchor distT="0" distB="0" distL="0" distR="0" simplePos="0" relativeHeight="487202816" behindDoc="1" locked="0" layoutInCell="1" allowOverlap="1" wp14:anchorId="79842292" wp14:editId="5D2F3C4A">
              <wp:simplePos x="0" y="0"/>
              <wp:positionH relativeFrom="page">
                <wp:posOffset>5853176</wp:posOffset>
              </wp:positionH>
              <wp:positionV relativeFrom="page">
                <wp:posOffset>9243272</wp:posOffset>
              </wp:positionV>
              <wp:extent cx="78994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940" cy="196215"/>
                      </a:xfrm>
                      <a:prstGeom prst="rect">
                        <a:avLst/>
                      </a:prstGeom>
                    </wps:spPr>
                    <wps:txbx>
                      <w:txbxContent>
                        <w:p w14:paraId="350B4071" w14:textId="46C35075" w:rsidR="0080310D" w:rsidRDefault="000B16A6">
                          <w:pPr>
                            <w:pStyle w:val="BodyText"/>
                            <w:spacing w:before="12"/>
                            <w:ind w:left="20"/>
                          </w:pPr>
                          <w:r>
                            <w:rPr>
                              <w:spacing w:val="-2"/>
                            </w:rPr>
                            <w:t>07/15/2026</w:t>
                          </w:r>
                        </w:p>
                      </w:txbxContent>
                    </wps:txbx>
                    <wps:bodyPr wrap="square" lIns="0" tIns="0" rIns="0" bIns="0" rtlCol="0">
                      <a:noAutofit/>
                    </wps:bodyPr>
                  </wps:wsp>
                </a:graphicData>
              </a:graphic>
            </wp:anchor>
          </w:drawing>
        </mc:Choice>
        <mc:Fallback>
          <w:pict>
            <v:shape w14:anchorId="79842292" id="Textbox 4" o:spid="_x0000_s1028" type="#_x0000_t202" style="position:absolute;margin-left:460.9pt;margin-top:727.8pt;width:62.2pt;height:15.45pt;z-index:-161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" filled="f" stroked="f">
              <v:textbox inset="0,0,0,0">
                <w:txbxContent>
                  <w:p w14:paraId="350B4071" w14:textId="46C35075" w:rsidR="0080310D" w:rsidRDefault="000B16A6">
                    <w:pPr>
                      <w:pStyle w:val="BodyText"/>
                      <w:spacing w:before="12"/>
                      <w:ind w:left="20"/>
                    </w:pPr>
                    <w:r>
                      <w:rPr>
                        <w:spacing w:val="-2"/>
                      </w:rPr>
                      <w:t>07/15/2026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6A8B2" w14:textId="77777777" w:rsidR="004F5CDA" w:rsidRDefault="004F5CDA">
      <w:r>
        <w:separator/>
      </w:r>
    </w:p>
  </w:footnote>
  <w:footnote w:type="continuationSeparator" w:id="0">
    <w:p w14:paraId="1B26DECB" w14:textId="77777777" w:rsidR="004F5CDA" w:rsidRDefault="004F5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6C69"/>
    <w:multiLevelType w:val="hybridMultilevel"/>
    <w:tmpl w:val="8CB698D2"/>
    <w:lvl w:ilvl="0" w:tplc="1A184FBC">
      <w:start w:val="1"/>
      <w:numFmt w:val="decimal"/>
      <w:lvlText w:val="%1."/>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76762330">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2" w:tplc="6FAA4A2C">
      <w:numFmt w:val="bullet"/>
      <w:lvlText w:val="o"/>
      <w:lvlJc w:val="left"/>
      <w:pPr>
        <w:ind w:left="1440" w:hanging="360"/>
      </w:pPr>
      <w:rPr>
        <w:rFonts w:ascii="Courier New" w:eastAsia="Courier New" w:hAnsi="Courier New" w:cs="Courier New" w:hint="default"/>
        <w:b w:val="0"/>
        <w:bCs w:val="0"/>
        <w:i w:val="0"/>
        <w:iCs w:val="0"/>
        <w:spacing w:val="0"/>
        <w:w w:val="99"/>
        <w:sz w:val="20"/>
        <w:szCs w:val="20"/>
        <w:lang w:val="en-US" w:eastAsia="en-US" w:bidi="ar-SA"/>
      </w:rPr>
    </w:lvl>
    <w:lvl w:ilvl="3" w:tplc="CEA2B5F0">
      <w:numFmt w:val="bullet"/>
      <w:lvlText w:val="•"/>
      <w:lvlJc w:val="left"/>
      <w:pPr>
        <w:ind w:left="3360" w:hanging="360"/>
      </w:pPr>
      <w:rPr>
        <w:rFonts w:hint="default"/>
        <w:lang w:val="en-US" w:eastAsia="en-US" w:bidi="ar-SA"/>
      </w:rPr>
    </w:lvl>
    <w:lvl w:ilvl="4" w:tplc="6A86EFDE">
      <w:numFmt w:val="bullet"/>
      <w:lvlText w:val="•"/>
      <w:lvlJc w:val="left"/>
      <w:pPr>
        <w:ind w:left="4320" w:hanging="360"/>
      </w:pPr>
      <w:rPr>
        <w:rFonts w:hint="default"/>
        <w:lang w:val="en-US" w:eastAsia="en-US" w:bidi="ar-SA"/>
      </w:rPr>
    </w:lvl>
    <w:lvl w:ilvl="5" w:tplc="CDF0F5A0">
      <w:numFmt w:val="bullet"/>
      <w:lvlText w:val="•"/>
      <w:lvlJc w:val="left"/>
      <w:pPr>
        <w:ind w:left="5280" w:hanging="360"/>
      </w:pPr>
      <w:rPr>
        <w:rFonts w:hint="default"/>
        <w:lang w:val="en-US" w:eastAsia="en-US" w:bidi="ar-SA"/>
      </w:rPr>
    </w:lvl>
    <w:lvl w:ilvl="6" w:tplc="8376B7D6">
      <w:numFmt w:val="bullet"/>
      <w:lvlText w:val="•"/>
      <w:lvlJc w:val="left"/>
      <w:pPr>
        <w:ind w:left="6240" w:hanging="360"/>
      </w:pPr>
      <w:rPr>
        <w:rFonts w:hint="default"/>
        <w:lang w:val="en-US" w:eastAsia="en-US" w:bidi="ar-SA"/>
      </w:rPr>
    </w:lvl>
    <w:lvl w:ilvl="7" w:tplc="3AE6EE72">
      <w:numFmt w:val="bullet"/>
      <w:lvlText w:val="•"/>
      <w:lvlJc w:val="left"/>
      <w:pPr>
        <w:ind w:left="7200" w:hanging="360"/>
      </w:pPr>
      <w:rPr>
        <w:rFonts w:hint="default"/>
        <w:lang w:val="en-US" w:eastAsia="en-US" w:bidi="ar-SA"/>
      </w:rPr>
    </w:lvl>
    <w:lvl w:ilvl="8" w:tplc="4CC490C4">
      <w:numFmt w:val="bullet"/>
      <w:lvlText w:val="•"/>
      <w:lvlJc w:val="left"/>
      <w:pPr>
        <w:ind w:left="8160" w:hanging="360"/>
      </w:pPr>
      <w:rPr>
        <w:rFonts w:hint="default"/>
        <w:lang w:val="en-US" w:eastAsia="en-US" w:bidi="ar-SA"/>
      </w:rPr>
    </w:lvl>
  </w:abstractNum>
  <w:abstractNum w:abstractNumId="1" w15:restartNumberingAfterBreak="0">
    <w:nsid w:val="0D7F0155"/>
    <w:multiLevelType w:val="hybridMultilevel"/>
    <w:tmpl w:val="6BEA8BEA"/>
    <w:lvl w:ilvl="0" w:tplc="26D66560">
      <w:start w:val="1"/>
      <w:numFmt w:val="decimal"/>
      <w:lvlText w:val="%1."/>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857C56FA">
      <w:numFmt w:val="bullet"/>
      <w:lvlText w:val="•"/>
      <w:lvlJc w:val="left"/>
      <w:pPr>
        <w:ind w:left="1980" w:hanging="360"/>
      </w:pPr>
      <w:rPr>
        <w:rFonts w:hint="default"/>
        <w:lang w:val="en-US" w:eastAsia="en-US" w:bidi="ar-SA"/>
      </w:rPr>
    </w:lvl>
    <w:lvl w:ilvl="2" w:tplc="1B7E18C6">
      <w:numFmt w:val="bullet"/>
      <w:lvlText w:val="•"/>
      <w:lvlJc w:val="left"/>
      <w:pPr>
        <w:ind w:left="2880" w:hanging="360"/>
      </w:pPr>
      <w:rPr>
        <w:rFonts w:hint="default"/>
        <w:lang w:val="en-US" w:eastAsia="en-US" w:bidi="ar-SA"/>
      </w:rPr>
    </w:lvl>
    <w:lvl w:ilvl="3" w:tplc="E502300A">
      <w:numFmt w:val="bullet"/>
      <w:lvlText w:val="•"/>
      <w:lvlJc w:val="left"/>
      <w:pPr>
        <w:ind w:left="3780" w:hanging="360"/>
      </w:pPr>
      <w:rPr>
        <w:rFonts w:hint="default"/>
        <w:lang w:val="en-US" w:eastAsia="en-US" w:bidi="ar-SA"/>
      </w:rPr>
    </w:lvl>
    <w:lvl w:ilvl="4" w:tplc="346EE732">
      <w:numFmt w:val="bullet"/>
      <w:lvlText w:val="•"/>
      <w:lvlJc w:val="left"/>
      <w:pPr>
        <w:ind w:left="4680" w:hanging="360"/>
      </w:pPr>
      <w:rPr>
        <w:rFonts w:hint="default"/>
        <w:lang w:val="en-US" w:eastAsia="en-US" w:bidi="ar-SA"/>
      </w:rPr>
    </w:lvl>
    <w:lvl w:ilvl="5" w:tplc="20F4824A">
      <w:numFmt w:val="bullet"/>
      <w:lvlText w:val="•"/>
      <w:lvlJc w:val="left"/>
      <w:pPr>
        <w:ind w:left="5580" w:hanging="360"/>
      </w:pPr>
      <w:rPr>
        <w:rFonts w:hint="default"/>
        <w:lang w:val="en-US" w:eastAsia="en-US" w:bidi="ar-SA"/>
      </w:rPr>
    </w:lvl>
    <w:lvl w:ilvl="6" w:tplc="BE4E4D02">
      <w:numFmt w:val="bullet"/>
      <w:lvlText w:val="•"/>
      <w:lvlJc w:val="left"/>
      <w:pPr>
        <w:ind w:left="6480" w:hanging="360"/>
      </w:pPr>
      <w:rPr>
        <w:rFonts w:hint="default"/>
        <w:lang w:val="en-US" w:eastAsia="en-US" w:bidi="ar-SA"/>
      </w:rPr>
    </w:lvl>
    <w:lvl w:ilvl="7" w:tplc="CBCE3690">
      <w:numFmt w:val="bullet"/>
      <w:lvlText w:val="•"/>
      <w:lvlJc w:val="left"/>
      <w:pPr>
        <w:ind w:left="7380" w:hanging="360"/>
      </w:pPr>
      <w:rPr>
        <w:rFonts w:hint="default"/>
        <w:lang w:val="en-US" w:eastAsia="en-US" w:bidi="ar-SA"/>
      </w:rPr>
    </w:lvl>
    <w:lvl w:ilvl="8" w:tplc="8F2AC316">
      <w:numFmt w:val="bullet"/>
      <w:lvlText w:val="•"/>
      <w:lvlJc w:val="left"/>
      <w:pPr>
        <w:ind w:left="8280" w:hanging="360"/>
      </w:pPr>
      <w:rPr>
        <w:rFonts w:hint="default"/>
        <w:lang w:val="en-US" w:eastAsia="en-US" w:bidi="ar-SA"/>
      </w:rPr>
    </w:lvl>
  </w:abstractNum>
  <w:abstractNum w:abstractNumId="2" w15:restartNumberingAfterBreak="0">
    <w:nsid w:val="1E932982"/>
    <w:multiLevelType w:val="hybridMultilevel"/>
    <w:tmpl w:val="497EE990"/>
    <w:lvl w:ilvl="0" w:tplc="E04AFFBA">
      <w:numFmt w:val="bullet"/>
      <w:lvlText w:val=""/>
      <w:lvlJc w:val="left"/>
      <w:pPr>
        <w:ind w:left="294" w:hanging="281"/>
      </w:pPr>
      <w:rPr>
        <w:rFonts w:ascii="Wingdings" w:eastAsia="Wingdings" w:hAnsi="Wingdings" w:cs="Wingdings" w:hint="default"/>
        <w:b w:val="0"/>
        <w:bCs w:val="0"/>
        <w:i w:val="0"/>
        <w:iCs w:val="0"/>
        <w:spacing w:val="0"/>
        <w:w w:val="100"/>
        <w:sz w:val="24"/>
        <w:szCs w:val="24"/>
        <w:lang w:val="en-US" w:eastAsia="en-US" w:bidi="ar-SA"/>
      </w:rPr>
    </w:lvl>
    <w:lvl w:ilvl="1" w:tplc="0ADE561C">
      <w:numFmt w:val="bullet"/>
      <w:lvlText w:val="•"/>
      <w:lvlJc w:val="left"/>
      <w:pPr>
        <w:ind w:left="476" w:hanging="281"/>
      </w:pPr>
      <w:rPr>
        <w:rFonts w:hint="default"/>
        <w:lang w:val="en-US" w:eastAsia="en-US" w:bidi="ar-SA"/>
      </w:rPr>
    </w:lvl>
    <w:lvl w:ilvl="2" w:tplc="D64CB982">
      <w:numFmt w:val="bullet"/>
      <w:lvlText w:val="•"/>
      <w:lvlJc w:val="left"/>
      <w:pPr>
        <w:ind w:left="653" w:hanging="281"/>
      </w:pPr>
      <w:rPr>
        <w:rFonts w:hint="default"/>
        <w:lang w:val="en-US" w:eastAsia="en-US" w:bidi="ar-SA"/>
      </w:rPr>
    </w:lvl>
    <w:lvl w:ilvl="3" w:tplc="4D7AC6B0">
      <w:numFmt w:val="bullet"/>
      <w:lvlText w:val="•"/>
      <w:lvlJc w:val="left"/>
      <w:pPr>
        <w:ind w:left="830" w:hanging="281"/>
      </w:pPr>
      <w:rPr>
        <w:rFonts w:hint="default"/>
        <w:lang w:val="en-US" w:eastAsia="en-US" w:bidi="ar-SA"/>
      </w:rPr>
    </w:lvl>
    <w:lvl w:ilvl="4" w:tplc="0B54F1A8">
      <w:numFmt w:val="bullet"/>
      <w:lvlText w:val="•"/>
      <w:lvlJc w:val="left"/>
      <w:pPr>
        <w:ind w:left="1007" w:hanging="281"/>
      </w:pPr>
      <w:rPr>
        <w:rFonts w:hint="default"/>
        <w:lang w:val="en-US" w:eastAsia="en-US" w:bidi="ar-SA"/>
      </w:rPr>
    </w:lvl>
    <w:lvl w:ilvl="5" w:tplc="7240A5C8">
      <w:numFmt w:val="bullet"/>
      <w:lvlText w:val="•"/>
      <w:lvlJc w:val="left"/>
      <w:pPr>
        <w:ind w:left="1184" w:hanging="281"/>
      </w:pPr>
      <w:rPr>
        <w:rFonts w:hint="default"/>
        <w:lang w:val="en-US" w:eastAsia="en-US" w:bidi="ar-SA"/>
      </w:rPr>
    </w:lvl>
    <w:lvl w:ilvl="6" w:tplc="8D384330">
      <w:numFmt w:val="bullet"/>
      <w:lvlText w:val="•"/>
      <w:lvlJc w:val="left"/>
      <w:pPr>
        <w:ind w:left="1361" w:hanging="281"/>
      </w:pPr>
      <w:rPr>
        <w:rFonts w:hint="default"/>
        <w:lang w:val="en-US" w:eastAsia="en-US" w:bidi="ar-SA"/>
      </w:rPr>
    </w:lvl>
    <w:lvl w:ilvl="7" w:tplc="0F604FBE">
      <w:numFmt w:val="bullet"/>
      <w:lvlText w:val="•"/>
      <w:lvlJc w:val="left"/>
      <w:pPr>
        <w:ind w:left="1538" w:hanging="281"/>
      </w:pPr>
      <w:rPr>
        <w:rFonts w:hint="default"/>
        <w:lang w:val="en-US" w:eastAsia="en-US" w:bidi="ar-SA"/>
      </w:rPr>
    </w:lvl>
    <w:lvl w:ilvl="8" w:tplc="A28C8806">
      <w:numFmt w:val="bullet"/>
      <w:lvlText w:val="•"/>
      <w:lvlJc w:val="left"/>
      <w:pPr>
        <w:ind w:left="1715" w:hanging="281"/>
      </w:pPr>
      <w:rPr>
        <w:rFonts w:hint="default"/>
        <w:lang w:val="en-US" w:eastAsia="en-US" w:bidi="ar-SA"/>
      </w:rPr>
    </w:lvl>
  </w:abstractNum>
  <w:abstractNum w:abstractNumId="3" w15:restartNumberingAfterBreak="0">
    <w:nsid w:val="2D4E4222"/>
    <w:multiLevelType w:val="hybridMultilevel"/>
    <w:tmpl w:val="8B5A66D6"/>
    <w:lvl w:ilvl="0" w:tplc="95E26FE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1FC0662">
      <w:numFmt w:val="bullet"/>
      <w:lvlText w:val="•"/>
      <w:lvlJc w:val="left"/>
      <w:pPr>
        <w:ind w:left="1980" w:hanging="360"/>
      </w:pPr>
      <w:rPr>
        <w:rFonts w:hint="default"/>
        <w:lang w:val="en-US" w:eastAsia="en-US" w:bidi="ar-SA"/>
      </w:rPr>
    </w:lvl>
    <w:lvl w:ilvl="2" w:tplc="330CC3B4">
      <w:numFmt w:val="bullet"/>
      <w:lvlText w:val="•"/>
      <w:lvlJc w:val="left"/>
      <w:pPr>
        <w:ind w:left="2880" w:hanging="360"/>
      </w:pPr>
      <w:rPr>
        <w:rFonts w:hint="default"/>
        <w:lang w:val="en-US" w:eastAsia="en-US" w:bidi="ar-SA"/>
      </w:rPr>
    </w:lvl>
    <w:lvl w:ilvl="3" w:tplc="81F4040A">
      <w:numFmt w:val="bullet"/>
      <w:lvlText w:val="•"/>
      <w:lvlJc w:val="left"/>
      <w:pPr>
        <w:ind w:left="3780" w:hanging="360"/>
      </w:pPr>
      <w:rPr>
        <w:rFonts w:hint="default"/>
        <w:lang w:val="en-US" w:eastAsia="en-US" w:bidi="ar-SA"/>
      </w:rPr>
    </w:lvl>
    <w:lvl w:ilvl="4" w:tplc="7020F79C">
      <w:numFmt w:val="bullet"/>
      <w:lvlText w:val="•"/>
      <w:lvlJc w:val="left"/>
      <w:pPr>
        <w:ind w:left="4680" w:hanging="360"/>
      </w:pPr>
      <w:rPr>
        <w:rFonts w:hint="default"/>
        <w:lang w:val="en-US" w:eastAsia="en-US" w:bidi="ar-SA"/>
      </w:rPr>
    </w:lvl>
    <w:lvl w:ilvl="5" w:tplc="E73463E6">
      <w:numFmt w:val="bullet"/>
      <w:lvlText w:val="•"/>
      <w:lvlJc w:val="left"/>
      <w:pPr>
        <w:ind w:left="5580" w:hanging="360"/>
      </w:pPr>
      <w:rPr>
        <w:rFonts w:hint="default"/>
        <w:lang w:val="en-US" w:eastAsia="en-US" w:bidi="ar-SA"/>
      </w:rPr>
    </w:lvl>
    <w:lvl w:ilvl="6" w:tplc="08A4EE1C">
      <w:numFmt w:val="bullet"/>
      <w:lvlText w:val="•"/>
      <w:lvlJc w:val="left"/>
      <w:pPr>
        <w:ind w:left="6480" w:hanging="360"/>
      </w:pPr>
      <w:rPr>
        <w:rFonts w:hint="default"/>
        <w:lang w:val="en-US" w:eastAsia="en-US" w:bidi="ar-SA"/>
      </w:rPr>
    </w:lvl>
    <w:lvl w:ilvl="7" w:tplc="4EB01CC6">
      <w:numFmt w:val="bullet"/>
      <w:lvlText w:val="•"/>
      <w:lvlJc w:val="left"/>
      <w:pPr>
        <w:ind w:left="7380" w:hanging="360"/>
      </w:pPr>
      <w:rPr>
        <w:rFonts w:hint="default"/>
        <w:lang w:val="en-US" w:eastAsia="en-US" w:bidi="ar-SA"/>
      </w:rPr>
    </w:lvl>
    <w:lvl w:ilvl="8" w:tplc="2E44603A">
      <w:numFmt w:val="bullet"/>
      <w:lvlText w:val="•"/>
      <w:lvlJc w:val="left"/>
      <w:pPr>
        <w:ind w:left="8280" w:hanging="360"/>
      </w:pPr>
      <w:rPr>
        <w:rFonts w:hint="default"/>
        <w:lang w:val="en-US" w:eastAsia="en-US" w:bidi="ar-SA"/>
      </w:rPr>
    </w:lvl>
  </w:abstractNum>
  <w:abstractNum w:abstractNumId="4" w15:restartNumberingAfterBreak="0">
    <w:nsid w:val="36064A72"/>
    <w:multiLevelType w:val="multilevel"/>
    <w:tmpl w:val="645EC6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A770871"/>
    <w:multiLevelType w:val="hybridMultilevel"/>
    <w:tmpl w:val="031E04F2"/>
    <w:lvl w:ilvl="0" w:tplc="3662B9C8">
      <w:start w:val="1"/>
      <w:numFmt w:val="decimal"/>
      <w:lvlText w:val="%1."/>
      <w:lvlJc w:val="left"/>
      <w:pPr>
        <w:ind w:left="1440" w:hanging="360"/>
      </w:pPr>
      <w:rPr>
        <w:rFonts w:ascii="Arial" w:eastAsia="Arial" w:hAnsi="Arial" w:cs="Arial" w:hint="default"/>
        <w:b/>
        <w:bCs/>
        <w:i w:val="0"/>
        <w:iCs w:val="0"/>
        <w:spacing w:val="0"/>
        <w:w w:val="100"/>
        <w:sz w:val="24"/>
        <w:szCs w:val="24"/>
        <w:lang w:val="en-US" w:eastAsia="en-US" w:bidi="ar-SA"/>
      </w:rPr>
    </w:lvl>
    <w:lvl w:ilvl="1" w:tplc="E3FCFF6E">
      <w:numFmt w:val="bullet"/>
      <w:lvlText w:val="•"/>
      <w:lvlJc w:val="left"/>
      <w:pPr>
        <w:ind w:left="2304" w:hanging="360"/>
      </w:pPr>
      <w:rPr>
        <w:rFonts w:hint="default"/>
        <w:lang w:val="en-US" w:eastAsia="en-US" w:bidi="ar-SA"/>
      </w:rPr>
    </w:lvl>
    <w:lvl w:ilvl="2" w:tplc="EAD69C9A">
      <w:numFmt w:val="bullet"/>
      <w:lvlText w:val="•"/>
      <w:lvlJc w:val="left"/>
      <w:pPr>
        <w:ind w:left="3168" w:hanging="360"/>
      </w:pPr>
      <w:rPr>
        <w:rFonts w:hint="default"/>
        <w:lang w:val="en-US" w:eastAsia="en-US" w:bidi="ar-SA"/>
      </w:rPr>
    </w:lvl>
    <w:lvl w:ilvl="3" w:tplc="2B62A6D4">
      <w:numFmt w:val="bullet"/>
      <w:lvlText w:val="•"/>
      <w:lvlJc w:val="left"/>
      <w:pPr>
        <w:ind w:left="4032" w:hanging="360"/>
      </w:pPr>
      <w:rPr>
        <w:rFonts w:hint="default"/>
        <w:lang w:val="en-US" w:eastAsia="en-US" w:bidi="ar-SA"/>
      </w:rPr>
    </w:lvl>
    <w:lvl w:ilvl="4" w:tplc="BA46BC08">
      <w:numFmt w:val="bullet"/>
      <w:lvlText w:val="•"/>
      <w:lvlJc w:val="left"/>
      <w:pPr>
        <w:ind w:left="4896" w:hanging="360"/>
      </w:pPr>
      <w:rPr>
        <w:rFonts w:hint="default"/>
        <w:lang w:val="en-US" w:eastAsia="en-US" w:bidi="ar-SA"/>
      </w:rPr>
    </w:lvl>
    <w:lvl w:ilvl="5" w:tplc="1EF2964E">
      <w:numFmt w:val="bullet"/>
      <w:lvlText w:val="•"/>
      <w:lvlJc w:val="left"/>
      <w:pPr>
        <w:ind w:left="5760" w:hanging="360"/>
      </w:pPr>
      <w:rPr>
        <w:rFonts w:hint="default"/>
        <w:lang w:val="en-US" w:eastAsia="en-US" w:bidi="ar-SA"/>
      </w:rPr>
    </w:lvl>
    <w:lvl w:ilvl="6" w:tplc="CF7435CC">
      <w:numFmt w:val="bullet"/>
      <w:lvlText w:val="•"/>
      <w:lvlJc w:val="left"/>
      <w:pPr>
        <w:ind w:left="6624" w:hanging="360"/>
      </w:pPr>
      <w:rPr>
        <w:rFonts w:hint="default"/>
        <w:lang w:val="en-US" w:eastAsia="en-US" w:bidi="ar-SA"/>
      </w:rPr>
    </w:lvl>
    <w:lvl w:ilvl="7" w:tplc="4534281A">
      <w:numFmt w:val="bullet"/>
      <w:lvlText w:val="•"/>
      <w:lvlJc w:val="left"/>
      <w:pPr>
        <w:ind w:left="7488" w:hanging="360"/>
      </w:pPr>
      <w:rPr>
        <w:rFonts w:hint="default"/>
        <w:lang w:val="en-US" w:eastAsia="en-US" w:bidi="ar-SA"/>
      </w:rPr>
    </w:lvl>
    <w:lvl w:ilvl="8" w:tplc="B2B0A61A">
      <w:numFmt w:val="bullet"/>
      <w:lvlText w:val="•"/>
      <w:lvlJc w:val="left"/>
      <w:pPr>
        <w:ind w:left="8352" w:hanging="360"/>
      </w:pPr>
      <w:rPr>
        <w:rFonts w:hint="default"/>
        <w:lang w:val="en-US" w:eastAsia="en-US" w:bidi="ar-SA"/>
      </w:rPr>
    </w:lvl>
  </w:abstractNum>
  <w:abstractNum w:abstractNumId="6" w15:restartNumberingAfterBreak="0">
    <w:nsid w:val="59CF27B0"/>
    <w:multiLevelType w:val="hybridMultilevel"/>
    <w:tmpl w:val="7ED64106"/>
    <w:lvl w:ilvl="0" w:tplc="0E344D3E">
      <w:numFmt w:val="bullet"/>
      <w:lvlText w:val=""/>
      <w:lvlJc w:val="left"/>
      <w:pPr>
        <w:ind w:left="294" w:hanging="281"/>
      </w:pPr>
      <w:rPr>
        <w:rFonts w:ascii="Wingdings" w:eastAsia="Wingdings" w:hAnsi="Wingdings" w:cs="Wingdings" w:hint="default"/>
        <w:b w:val="0"/>
        <w:bCs w:val="0"/>
        <w:i w:val="0"/>
        <w:iCs w:val="0"/>
        <w:spacing w:val="0"/>
        <w:w w:val="100"/>
        <w:sz w:val="24"/>
        <w:szCs w:val="24"/>
        <w:lang w:val="en-US" w:eastAsia="en-US" w:bidi="ar-SA"/>
      </w:rPr>
    </w:lvl>
    <w:lvl w:ilvl="1" w:tplc="9C04DD92">
      <w:numFmt w:val="bullet"/>
      <w:lvlText w:val="•"/>
      <w:lvlJc w:val="left"/>
      <w:pPr>
        <w:ind w:left="476" w:hanging="281"/>
      </w:pPr>
      <w:rPr>
        <w:rFonts w:hint="default"/>
        <w:lang w:val="en-US" w:eastAsia="en-US" w:bidi="ar-SA"/>
      </w:rPr>
    </w:lvl>
    <w:lvl w:ilvl="2" w:tplc="A9220A6A">
      <w:numFmt w:val="bullet"/>
      <w:lvlText w:val="•"/>
      <w:lvlJc w:val="left"/>
      <w:pPr>
        <w:ind w:left="653" w:hanging="281"/>
      </w:pPr>
      <w:rPr>
        <w:rFonts w:hint="default"/>
        <w:lang w:val="en-US" w:eastAsia="en-US" w:bidi="ar-SA"/>
      </w:rPr>
    </w:lvl>
    <w:lvl w:ilvl="3" w:tplc="F89621F2">
      <w:numFmt w:val="bullet"/>
      <w:lvlText w:val="•"/>
      <w:lvlJc w:val="left"/>
      <w:pPr>
        <w:ind w:left="830" w:hanging="281"/>
      </w:pPr>
      <w:rPr>
        <w:rFonts w:hint="default"/>
        <w:lang w:val="en-US" w:eastAsia="en-US" w:bidi="ar-SA"/>
      </w:rPr>
    </w:lvl>
    <w:lvl w:ilvl="4" w:tplc="BC96768A">
      <w:numFmt w:val="bullet"/>
      <w:lvlText w:val="•"/>
      <w:lvlJc w:val="left"/>
      <w:pPr>
        <w:ind w:left="1007" w:hanging="281"/>
      </w:pPr>
      <w:rPr>
        <w:rFonts w:hint="default"/>
        <w:lang w:val="en-US" w:eastAsia="en-US" w:bidi="ar-SA"/>
      </w:rPr>
    </w:lvl>
    <w:lvl w:ilvl="5" w:tplc="190655B0">
      <w:numFmt w:val="bullet"/>
      <w:lvlText w:val="•"/>
      <w:lvlJc w:val="left"/>
      <w:pPr>
        <w:ind w:left="1184" w:hanging="281"/>
      </w:pPr>
      <w:rPr>
        <w:rFonts w:hint="default"/>
        <w:lang w:val="en-US" w:eastAsia="en-US" w:bidi="ar-SA"/>
      </w:rPr>
    </w:lvl>
    <w:lvl w:ilvl="6" w:tplc="ADA6323C">
      <w:numFmt w:val="bullet"/>
      <w:lvlText w:val="•"/>
      <w:lvlJc w:val="left"/>
      <w:pPr>
        <w:ind w:left="1361" w:hanging="281"/>
      </w:pPr>
      <w:rPr>
        <w:rFonts w:hint="default"/>
        <w:lang w:val="en-US" w:eastAsia="en-US" w:bidi="ar-SA"/>
      </w:rPr>
    </w:lvl>
    <w:lvl w:ilvl="7" w:tplc="B64AAB14">
      <w:numFmt w:val="bullet"/>
      <w:lvlText w:val="•"/>
      <w:lvlJc w:val="left"/>
      <w:pPr>
        <w:ind w:left="1538" w:hanging="281"/>
      </w:pPr>
      <w:rPr>
        <w:rFonts w:hint="default"/>
        <w:lang w:val="en-US" w:eastAsia="en-US" w:bidi="ar-SA"/>
      </w:rPr>
    </w:lvl>
    <w:lvl w:ilvl="8" w:tplc="8EAAAE40">
      <w:numFmt w:val="bullet"/>
      <w:lvlText w:val="•"/>
      <w:lvlJc w:val="left"/>
      <w:pPr>
        <w:ind w:left="1715" w:hanging="281"/>
      </w:pPr>
      <w:rPr>
        <w:rFonts w:hint="default"/>
        <w:lang w:val="en-US" w:eastAsia="en-US" w:bidi="ar-SA"/>
      </w:rPr>
    </w:lvl>
  </w:abstractNum>
  <w:abstractNum w:abstractNumId="7" w15:restartNumberingAfterBreak="0">
    <w:nsid w:val="777170A5"/>
    <w:multiLevelType w:val="multilevel"/>
    <w:tmpl w:val="79F64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3"/>
  </w:num>
  <w:num w:numId="4">
    <w:abstractNumId w:val="0"/>
  </w:num>
  <w:num w:numId="5">
    <w:abstractNumId w:val="1"/>
  </w:num>
  <w:num w:numId="6">
    <w:abstractNumId w:val="5"/>
  </w:num>
  <w:num w:numId="7">
    <w:abstractNumId w:val="7"/>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0310D"/>
    <w:rsid w:val="00031C47"/>
    <w:rsid w:val="000B16A6"/>
    <w:rsid w:val="003F63A7"/>
    <w:rsid w:val="004830AF"/>
    <w:rsid w:val="004F5CDA"/>
    <w:rsid w:val="00696032"/>
    <w:rsid w:val="0080310D"/>
    <w:rsid w:val="00AF6FD9"/>
    <w:rsid w:val="00B472B2"/>
    <w:rsid w:val="00CB4A66"/>
    <w:rsid w:val="00D85532"/>
    <w:rsid w:val="00DC17C2"/>
    <w:rsid w:val="00F93DA0"/>
    <w:rsid w:val="00FF7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3ABAA"/>
  <w15:docId w15:val="{D5563A16-7B32-4CD9-BF5A-67EA6192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39" w:hanging="359"/>
      <w:outlineLvl w:val="0"/>
    </w:pPr>
    <w:rPr>
      <w:b/>
      <w:bCs/>
      <w:sz w:val="24"/>
      <w:szCs w:val="24"/>
    </w:rPr>
  </w:style>
  <w:style w:type="paragraph" w:styleId="Heading2">
    <w:name w:val="heading 2"/>
    <w:basedOn w:val="Normal"/>
    <w:uiPriority w:val="9"/>
    <w:unhideWhenUsed/>
    <w:qFormat/>
    <w:pPr>
      <w:ind w:left="7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0B16A6"/>
    <w:pPr>
      <w:tabs>
        <w:tab w:val="center" w:pos="4680"/>
        <w:tab w:val="right" w:pos="9360"/>
      </w:tabs>
    </w:pPr>
  </w:style>
  <w:style w:type="character" w:customStyle="1" w:styleId="HeaderChar">
    <w:name w:val="Header Char"/>
    <w:basedOn w:val="DefaultParagraphFont"/>
    <w:link w:val="Header"/>
    <w:uiPriority w:val="99"/>
    <w:rsid w:val="000B16A6"/>
    <w:rPr>
      <w:rFonts w:ascii="Arial" w:eastAsia="Arial" w:hAnsi="Arial" w:cs="Arial"/>
    </w:rPr>
  </w:style>
  <w:style w:type="paragraph" w:styleId="Footer">
    <w:name w:val="footer"/>
    <w:basedOn w:val="Normal"/>
    <w:link w:val="FooterChar"/>
    <w:uiPriority w:val="99"/>
    <w:unhideWhenUsed/>
    <w:rsid w:val="000B16A6"/>
    <w:pPr>
      <w:tabs>
        <w:tab w:val="center" w:pos="4680"/>
        <w:tab w:val="right" w:pos="9360"/>
      </w:tabs>
    </w:pPr>
  </w:style>
  <w:style w:type="character" w:customStyle="1" w:styleId="FooterChar">
    <w:name w:val="Footer Char"/>
    <w:basedOn w:val="DefaultParagraphFont"/>
    <w:link w:val="Footer"/>
    <w:uiPriority w:val="99"/>
    <w:rsid w:val="000B16A6"/>
    <w:rPr>
      <w:rFonts w:ascii="Arial" w:eastAsia="Arial" w:hAnsi="Arial" w:cs="Arial"/>
    </w:rPr>
  </w:style>
  <w:style w:type="character" w:styleId="Hyperlink">
    <w:name w:val="Hyperlink"/>
    <w:basedOn w:val="DefaultParagraphFont"/>
    <w:uiPriority w:val="99"/>
    <w:semiHidden/>
    <w:unhideWhenUsed/>
    <w:rsid w:val="00D85532"/>
    <w:rPr>
      <w:color w:val="0000FF"/>
      <w:u w:val="single"/>
    </w:rPr>
  </w:style>
  <w:style w:type="paragraph" w:styleId="NormalWeb">
    <w:name w:val="Normal (Web)"/>
    <w:basedOn w:val="Normal"/>
    <w:uiPriority w:val="99"/>
    <w:semiHidden/>
    <w:unhideWhenUsed/>
    <w:rsid w:val="00D85532"/>
    <w:pPr>
      <w:widowControl/>
      <w:autoSpaceDE/>
      <w:autoSpaceDN/>
      <w:spacing w:before="100" w:beforeAutospacing="1" w:after="100" w:afterAutospacing="1"/>
    </w:pPr>
    <w:rPr>
      <w:rFonts w:ascii="Calibri" w:eastAsiaTheme="minorHAnsi" w:hAnsi="Calibri" w:cs="Calibri"/>
    </w:rPr>
  </w:style>
  <w:style w:type="character" w:styleId="Strong">
    <w:name w:val="Strong"/>
    <w:basedOn w:val="DefaultParagraphFont"/>
    <w:uiPriority w:val="22"/>
    <w:qFormat/>
    <w:rsid w:val="00D85532"/>
    <w:rPr>
      <w:b/>
      <w:bCs/>
    </w:rPr>
  </w:style>
  <w:style w:type="character" w:styleId="Emphasis">
    <w:name w:val="Emphasis"/>
    <w:basedOn w:val="DefaultParagraphFont"/>
    <w:uiPriority w:val="20"/>
    <w:qFormat/>
    <w:rsid w:val="00D855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070811">
      <w:bodyDiv w:val="1"/>
      <w:marLeft w:val="0"/>
      <w:marRight w:val="0"/>
      <w:marTop w:val="0"/>
      <w:marBottom w:val="0"/>
      <w:divBdr>
        <w:top w:val="none" w:sz="0" w:space="0" w:color="auto"/>
        <w:left w:val="none" w:sz="0" w:space="0" w:color="auto"/>
        <w:bottom w:val="none" w:sz="0" w:space="0" w:color="auto"/>
        <w:right w:val="none" w:sz="0" w:space="0" w:color="auto"/>
      </w:divBdr>
    </w:div>
    <w:div w:id="92006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deadiversion.usdoj.gov/21cfr/21usc/index.html" TargetMode="External"/><Relationship Id="rId21" Type="http://schemas.openxmlformats.org/officeDocument/2006/relationships/hyperlink" Target="http://www.flsenate.gov/Laws/Statutes/2016/Chapter499" TargetMode="External"/><Relationship Id="rId42" Type="http://schemas.openxmlformats.org/officeDocument/2006/relationships/hyperlink" Target="https://www.deadiversion.usdoj.gov/21cfr/cfr/1301/1301_18.htm" TargetMode="External"/><Relationship Id="rId47" Type="http://schemas.openxmlformats.org/officeDocument/2006/relationships/hyperlink" Target="https://www.deadiversion.usdoj.gov/webforms/orderFormsRequest.jsp" TargetMode="External"/><Relationship Id="rId63" Type="http://schemas.openxmlformats.org/officeDocument/2006/relationships/hyperlink" Target="https://www.dea.gov/controlled-substances-act" TargetMode="External"/><Relationship Id="rId68" Type="http://schemas.openxmlformats.org/officeDocument/2006/relationships/hyperlink" Target="https://nam02.safelinks.protection.outlook.com/?url=https%3A%2F%2Flinks-2.govdelivery.com%2FCL0%2Fhttps%3A%252F%252Fapps2.deadiversion.usdoj.gov%252Farcos-online%2F1%2F01010198f14c3023-f16d5628-dfa0-436d-912d-38e53a3e29da-000000%2F-FOW89yFM9hHS2OiS3sY_LRH2e3vKQN1pqgBiA_TS8M%3D420&amp;data=05%7C02%7CMelina.Kinsey%40ucf.edu%7C474e9192ef974e91551908dedb794b7d%7Cbb932f15ef3842ba91fcf3c59d5dd1f1%7C0%7C0%7C639189511167873266%7CUnknown%7CTWFpbGZsb3d8eyJFbXB0eU1hcGkiOnRydWUsIlYiOiIwLjAuMDAwMCIsIlAiOiJXaW4zMiIsIkFOIjoiTWFpbCIsIldUIjoyfQ%3D%3D%7C0%7C%7C%7C&amp;sdata=3IBi3VEush2lBrtTTelI2qZAms8dEzo%2FufcEnT%2FVtsU%3D&amp;reserved=0" TargetMode="External"/><Relationship Id="rId84" Type="http://schemas.openxmlformats.org/officeDocument/2006/relationships/hyperlink" Target="mailto:Renee.Michel@ucf.edu" TargetMode="External"/><Relationship Id="rId16" Type="http://schemas.openxmlformats.org/officeDocument/2006/relationships/hyperlink" Target="https://www.flsenate.gov/Laws/Statutes/2018/Chapter893" TargetMode="External"/><Relationship Id="rId11" Type="http://schemas.openxmlformats.org/officeDocument/2006/relationships/hyperlink" Target="https://ehs.ucf.edu/forms/possession-of-prescription-drugs-and-controlled-substances-procedure-consent-form" TargetMode="External"/><Relationship Id="rId32" Type="http://schemas.openxmlformats.org/officeDocument/2006/relationships/hyperlink" Target="http://ehs.ucf.edu/chemsafety/CS-SelfAuditChecklist.pdf" TargetMode="External"/><Relationship Id="rId37" Type="http://schemas.openxmlformats.org/officeDocument/2006/relationships/hyperlink" Target="http://www.myfloridalicense.com/DBPR/drugs-devices-and-cosmetics/exemption-letter-research-teaching-testing/" TargetMode="External"/><Relationship Id="rId53" Type="http://schemas.openxmlformats.org/officeDocument/2006/relationships/hyperlink" Target="https://ehs.ucf.edu/hazardous-waste" TargetMode="External"/><Relationship Id="rId58" Type="http://schemas.openxmlformats.org/officeDocument/2006/relationships/hyperlink" Target="https://www.gpo.gov/fdsys/pkg/CFR-2012-title40-vol27/xml/CFR-2012-title40-vol27-sec261-33.xml" TargetMode="External"/><Relationship Id="rId74" Type="http://schemas.openxmlformats.org/officeDocument/2006/relationships/hyperlink" Target="http://www.deadiversion.usdoj.gov/21cfr/cfr/1301/1301_76.htm" TargetMode="External"/><Relationship Id="rId79" Type="http://schemas.openxmlformats.org/officeDocument/2006/relationships/hyperlink" Target="https://www.deadiversion.usdoj.gov/webforms/dtlLogin.jsp" TargetMode="External"/><Relationship Id="rId5" Type="http://schemas.openxmlformats.org/officeDocument/2006/relationships/webSettings" Target="webSettings.xml"/><Relationship Id="rId19" Type="http://schemas.openxmlformats.org/officeDocument/2006/relationships/hyperlink" Target="https://www.flsenate.gov/Laws/Statutes/2016/Chapter455" TargetMode="External"/><Relationship Id="rId14" Type="http://schemas.openxmlformats.org/officeDocument/2006/relationships/hyperlink" Target="https://policies.ucf.edu/documents/3-107.pdf" TargetMode="External"/><Relationship Id="rId22" Type="http://schemas.openxmlformats.org/officeDocument/2006/relationships/hyperlink" Target="http://www.flsenate.gov/Laws/Statutes/2016/Chapter499" TargetMode="External"/><Relationship Id="rId27" Type="http://schemas.openxmlformats.org/officeDocument/2006/relationships/hyperlink" Target="https://policies.ucf.edu/documents/3-122.pdf" TargetMode="External"/><Relationship Id="rId30" Type="http://schemas.openxmlformats.org/officeDocument/2006/relationships/hyperlink" Target="http://www.ehs.ucf.edu/chemsafety/CS-Questionnaire.pdf" TargetMode="External"/><Relationship Id="rId35" Type="http://schemas.openxmlformats.org/officeDocument/2006/relationships/hyperlink" Target="http://www.leg.state.fl.us/statutes/index.cfm?App_mode=Display_Statute&amp;URL=0400-0499/0499/0499.html" TargetMode="External"/><Relationship Id="rId43" Type="http://schemas.openxmlformats.org/officeDocument/2006/relationships/hyperlink" Target="https://www.deadiversion.usdoj.gov/online_forms_apps.html" TargetMode="External"/><Relationship Id="rId48" Type="http://schemas.openxmlformats.org/officeDocument/2006/relationships/hyperlink" Target="https://www.deadiversion.usdoj.gov/webforms/orderFormsRequest.jsp" TargetMode="External"/><Relationship Id="rId56" Type="http://schemas.openxmlformats.org/officeDocument/2006/relationships/hyperlink" Target="https://www.epa.gov/hwgenerators/proposed-rule-management-standards-hazardous-waste-pharmaceuticals" TargetMode="External"/><Relationship Id="rId64" Type="http://schemas.openxmlformats.org/officeDocument/2006/relationships/hyperlink" Target="http://www.leg.state.fl.us/statutes/index.cfm?App_mode=Display_Statute&amp;URL=0400-0499/0499/0499.html" TargetMode="External"/><Relationship Id="rId69" Type="http://schemas.openxmlformats.org/officeDocument/2006/relationships/hyperlink" Target="https://nam02.safelinks.protection.outlook.com/?url=https%3A%2F%2Flinks-2.govdelivery.com%2FCL0%2Fhttps%3A%252F%252Fapps2.deadiversion.usdoj.gov%252Farcos-online%2F2%2F01010198f14c3023-f16d5628-dfa0-436d-912d-38e53a3e29da-000000%2FQ-8A_dQv3AZRjBKz7-zXsugowMSac3hXkZKOeIdavmQ%3D420&amp;data=05%7C02%7CMelina.Kinsey%40ucf.edu%7C474e9192ef974e91551908dedb794b7d%7Cbb932f15ef3842ba91fcf3c59d5dd1f1%7C0%7C0%7C639189511167898192%7CUnknown%7CTWFpbGZsb3d8eyJFbXB0eU1hcGkiOnRydWUsIlYiOiIwLjAuMDAwMCIsIlAiOiJXaW4zMiIsIkFOIjoiTWFpbCIsIldUIjoyfQ%3D%3D%7C0%7C%7C%7C&amp;sdata=dyDNWhUiyrWkx1bxdQMMXcZV3ajJSBoVlGqCIhV%2B9nI%3D&amp;reserved=0" TargetMode="External"/><Relationship Id="rId77" Type="http://schemas.openxmlformats.org/officeDocument/2006/relationships/hyperlink" Target="https://www.deadiversion.usdoj.gov/21cfr_reports/surrend/" TargetMode="External"/><Relationship Id="rId8" Type="http://schemas.openxmlformats.org/officeDocument/2006/relationships/image" Target="media/image1.png"/><Relationship Id="rId51" Type="http://schemas.openxmlformats.org/officeDocument/2006/relationships/hyperlink" Target="https://ehs.ucf.edu/forms/controlled-substance-biennial-inventory-form" TargetMode="External"/><Relationship Id="rId72" Type="http://schemas.openxmlformats.org/officeDocument/2006/relationships/hyperlink" Target="https://ehs.ucf.edu/forms/controlled-substance-employee-questionnaire" TargetMode="External"/><Relationship Id="rId80" Type="http://schemas.openxmlformats.org/officeDocument/2006/relationships/hyperlink" Target="https://ehs.ucf.edu/forms/controlled-substance-spill-record" TargetMode="External"/><Relationship Id="rId85" Type="http://schemas.openxmlformats.org/officeDocument/2006/relationships/hyperlink" Target="mailto:Thaismary.Morales@ucf.edu"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flrules.org/gateway/ChapterHome.asp?Chapter=64F-12" TargetMode="External"/><Relationship Id="rId25" Type="http://schemas.openxmlformats.org/officeDocument/2006/relationships/hyperlink" Target="https://www.deadiversion.usdoj.gov/21cfr/21usc/index.html" TargetMode="External"/><Relationship Id="rId33" Type="http://schemas.openxmlformats.org/officeDocument/2006/relationships/hyperlink" Target="http://ehs.ucf.edu/chemsafety/CS-UseLog.pdf" TargetMode="External"/><Relationship Id="rId38" Type="http://schemas.openxmlformats.org/officeDocument/2006/relationships/hyperlink" Target="https://spaceadmin.provost.ucf.edu/buildinglist.asp" TargetMode="External"/><Relationship Id="rId46" Type="http://schemas.openxmlformats.org/officeDocument/2006/relationships/hyperlink" Target="https://ehs.ucf.edu/policies/purchasing-controlled-substances" TargetMode="External"/><Relationship Id="rId59" Type="http://schemas.openxmlformats.org/officeDocument/2006/relationships/hyperlink" Target="https://www.gpo.gov/fdsys/pkg/CFR-2012-title40-vol27/xml/CFR-2012-title40-vol27-sec261-33.xml" TargetMode="External"/><Relationship Id="rId67" Type="http://schemas.openxmlformats.org/officeDocument/2006/relationships/hyperlink" Target="https://nam02.safelinks.protection.outlook.com/?url=https%3A%2F%2Flinks-2.govdelivery.com%2FCL0%2Fhttps%3A%252F%252Fwww.deadiversion.usdoj.gov%252F21cfr%252F21usc%252F832.htm%2F1%2F01010198f14c3023-f16d5628-dfa0-436d-912d-38e53a3e29da-000000%2FbWCH7IPuid5UKA1ml30YOrELbbTKTbr_4od5rEs3WB0%3D420&amp;data=05%7C02%7CMelina.Kinsey%40ucf.edu%7C474e9192ef974e91551908dedb794b7d%7Cbb932f15ef3842ba91fcf3c59d5dd1f1%7C0%7C0%7C639189511167851879%7CUnknown%7CTWFpbGZsb3d8eyJFbXB0eU1hcGkiOnRydWUsIlYiOiIwLjAuMDAwMCIsIlAiOiJXaW4zMiIsIkFOIjoiTWFpbCIsIldUIjoyfQ%3D%3D%7C0%7C%7C%7C&amp;sdata=JmZDkoXkjIU5jc%2B2iwyuyhMsGyCorKbKioBkebkqfrY%3D&amp;reserved=0" TargetMode="External"/><Relationship Id="rId20" Type="http://schemas.openxmlformats.org/officeDocument/2006/relationships/hyperlink" Target="https://www.flsenate.gov/Laws/Statutes/2016/Chapter455" TargetMode="External"/><Relationship Id="rId41" Type="http://schemas.openxmlformats.org/officeDocument/2006/relationships/hyperlink" Target="https://www.deadiversion.usdoj.gov/drugreg/reg_apps/225/225_instruct.htm" TargetMode="External"/><Relationship Id="rId54" Type="http://schemas.openxmlformats.org/officeDocument/2006/relationships/hyperlink" Target="https://ehs.ucf.edu/policies/disposal-of-controlled-substances" TargetMode="External"/><Relationship Id="rId62" Type="http://schemas.openxmlformats.org/officeDocument/2006/relationships/hyperlink" Target="https://policies.ucf.edu/documents/3-122.pdf" TargetMode="External"/><Relationship Id="rId70" Type="http://schemas.openxmlformats.org/officeDocument/2006/relationships/hyperlink" Target="mailto:SORS@dea.gov" TargetMode="External"/><Relationship Id="rId75" Type="http://schemas.openxmlformats.org/officeDocument/2006/relationships/hyperlink" Target="https://ehs.ucf.edu/forms/controlled-substance-initial-inventory-form" TargetMode="External"/><Relationship Id="rId83" Type="http://schemas.openxmlformats.org/officeDocument/2006/relationships/hyperlink" Target="http://www.deadiversion.usdoj.gov/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lsenate.gov/Laws/Statutes/2016/Chapter499" TargetMode="External"/><Relationship Id="rId23" Type="http://schemas.openxmlformats.org/officeDocument/2006/relationships/hyperlink" Target="https://www.flrules.org/gateway/ChapterHome.asp?Chapter=61N-1" TargetMode="External"/><Relationship Id="rId28" Type="http://schemas.openxmlformats.org/officeDocument/2006/relationships/hyperlink" Target="http://www.myfloridalicense.com/dbpr/ddc/documents/ExemptionApplication.pdf" TargetMode="External"/><Relationship Id="rId36" Type="http://schemas.openxmlformats.org/officeDocument/2006/relationships/hyperlink" Target="https://www.myfloridalicense.com/vo/Registering-as-a-New-User.pdf" TargetMode="External"/><Relationship Id="rId49" Type="http://schemas.openxmlformats.org/officeDocument/2006/relationships/hyperlink" Target="https://ehs.ucf.edu/policies/purchasing-controlled-substances" TargetMode="External"/><Relationship Id="rId57" Type="http://schemas.openxmlformats.org/officeDocument/2006/relationships/hyperlink" Target="http://www.epa.gov/osw/hazard/wastetypes/listed.htm" TargetMode="External"/><Relationship Id="rId10" Type="http://schemas.openxmlformats.org/officeDocument/2006/relationships/hyperlink" Target="https://policies.ucf.edu/documents/3-107.pdf" TargetMode="External"/><Relationship Id="rId31" Type="http://schemas.openxmlformats.org/officeDocument/2006/relationships/hyperlink" Target="http://ehs.ucf.edu/chemsafety/CS-SelfAuditChecklist.pdf" TargetMode="External"/><Relationship Id="rId44" Type="http://schemas.openxmlformats.org/officeDocument/2006/relationships/hyperlink" Target="https://policies.ucf.edu/documents/3-107.pdf" TargetMode="External"/><Relationship Id="rId52" Type="http://schemas.openxmlformats.org/officeDocument/2006/relationships/hyperlink" Target="https://ehs.ucf.edu/forms/controlled-substance-receipt-form" TargetMode="External"/><Relationship Id="rId60" Type="http://schemas.openxmlformats.org/officeDocument/2006/relationships/hyperlink" Target="https://www.gpo.gov/fdsys/pkg/CFR-2012-title40-vol27/xml/CFR-2012-title40-vol27-sec261-33.xml" TargetMode="External"/><Relationship Id="rId65" Type="http://schemas.openxmlformats.org/officeDocument/2006/relationships/hyperlink" Target="https://nam02.safelinks.protection.outlook.com/?url=https%3A%2F%2Flinks-2.govdelivery.com%2FCL0%2Fhttps%3A%252F%252Fuscode.house.gov%252Fview.xhtml%253Freq%3Dgranuleid%3AUSC-prelim-title21-section832%2526num%3D0%2526edition%3Dprelim%2F1%2F01010198f14c3023-f16d5628-dfa0-436d-912d-38e53a3e29da-000000%2FW2wYInE8mlr_KclPpEt6EAErGvwNxnkN9I_juryZS0M%3D420&amp;data=05%7C02%7CMelina.Kinsey%40ucf.edu%7C474e9192ef974e91551908dedb794b7d%7Cbb932f15ef3842ba91fcf3c59d5dd1f1%7C0%7C0%7C639189511167808706%7CUnknown%7CTWFpbGZsb3d8eyJFbXB0eU1hcGkiOnRydWUsIlYiOiIwLjAuMDAwMCIsIlAiOiJXaW4zMiIsIkFOIjoiTWFpbCIsIldUIjoyfQ%3D%3D%7C0%7C%7C%7C&amp;sdata=13K%2BowiSeCDMvDNPhaOVu2hYqg%2FZbL2Cs5YCBzXryBU%3D&amp;reserved=0" TargetMode="External"/><Relationship Id="rId73" Type="http://schemas.openxmlformats.org/officeDocument/2006/relationships/hyperlink" Target="https://ehs.ucf.edu/forms/controlled-substance-use-log" TargetMode="External"/><Relationship Id="rId78" Type="http://schemas.openxmlformats.org/officeDocument/2006/relationships/hyperlink" Target="https://www.deadiversion.usdoj.gov/21cfr/cfr/1301/1301_76.htm" TargetMode="External"/><Relationship Id="rId81" Type="http://schemas.openxmlformats.org/officeDocument/2006/relationships/hyperlink" Target="http://ehs.ucf.edu/chemsafety/CS-SpillRecord.pdf"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licies.ucf.edu/documents/3-122.pdf" TargetMode="External"/><Relationship Id="rId13" Type="http://schemas.openxmlformats.org/officeDocument/2006/relationships/hyperlink" Target="https://policies.ucf.edu/documents/3-107.pdf" TargetMode="External"/><Relationship Id="rId18" Type="http://schemas.openxmlformats.org/officeDocument/2006/relationships/hyperlink" Target="https://www.deadiversion.usdoj.gov/21cfr/cfr/index.html" TargetMode="External"/><Relationship Id="rId39" Type="http://schemas.openxmlformats.org/officeDocument/2006/relationships/hyperlink" Target="https://www.deadiversion.usdoj.gov/schedules/orangebook/c_cs_alpha.pdf" TargetMode="External"/><Relationship Id="rId34" Type="http://schemas.openxmlformats.org/officeDocument/2006/relationships/hyperlink" Target="http://www.leg.state.fl.us/statutes/index.cfm?App_mode=Display_Statute&amp;URL=0400-0499/0499/0499.html" TargetMode="External"/><Relationship Id="rId50" Type="http://schemas.openxmlformats.org/officeDocument/2006/relationships/hyperlink" Target="https://ehs.ucf.edu/forms/controlled-substance-employee-questionnaire" TargetMode="External"/><Relationship Id="rId55" Type="http://schemas.openxmlformats.org/officeDocument/2006/relationships/hyperlink" Target="https://ehs.ucf.edu/forms/dea-registered-reverse-distributors" TargetMode="External"/><Relationship Id="rId76" Type="http://schemas.openxmlformats.org/officeDocument/2006/relationships/hyperlink" Target="https://ehs.ucf.edu/forms/controlled-substance-biennial-inventory-form" TargetMode="External"/><Relationship Id="rId7" Type="http://schemas.openxmlformats.org/officeDocument/2006/relationships/endnotes" Target="endnotes.xml"/><Relationship Id="rId71" Type="http://schemas.openxmlformats.org/officeDocument/2006/relationships/hyperlink" Target="https://www.flrules.org/gateway/ruleno.asp?id=64F-12.012" TargetMode="External"/><Relationship Id="rId2" Type="http://schemas.openxmlformats.org/officeDocument/2006/relationships/numbering" Target="numbering.xml"/><Relationship Id="rId29" Type="http://schemas.openxmlformats.org/officeDocument/2006/relationships/hyperlink" Target="https://ehs.ucf.edu/forms/controlled-substance-employee-questionnaire" TargetMode="External"/><Relationship Id="rId24" Type="http://schemas.openxmlformats.org/officeDocument/2006/relationships/hyperlink" Target="https://www.flrules.org/gateway/ChapterHome.asp?Chapter=61N-1" TargetMode="External"/><Relationship Id="rId40" Type="http://schemas.openxmlformats.org/officeDocument/2006/relationships/hyperlink" Target="https://www.deadiversion.usdoj.gov/webforms/jsp/regapps/common/newAppLogin.jsp" TargetMode="External"/><Relationship Id="rId45" Type="http://schemas.openxmlformats.org/officeDocument/2006/relationships/hyperlink" Target="https://ehs.ucf.edu/forms/controlled-substance-receipt-form" TargetMode="External"/><Relationship Id="rId66" Type="http://schemas.openxmlformats.org/officeDocument/2006/relationships/hyperlink" Target="https://nam02.safelinks.protection.outlook.com/?url=https%3A%2F%2Flinks-2.govdelivery.com%2FCL0%2Fhttps%3A%252F%252Fuscode.house.gov%252Fview.xhtml%253Freq%3Dgranuleid%3AUSC-prelim-title21-section802%2526num%3D0%2526edition%3Dprelim%2F1%2F01010198f14c3023-f16d5628-dfa0-436d-912d-38e53a3e29da-000000%2FnYgly8Yc_BxzB4ExRCGmMz7Ak0rdOGdNvjTEjasPHm4%3D420&amp;data=05%7C02%7CMelina.Kinsey%40ucf.edu%7C474e9192ef974e91551908dedb794b7d%7Cbb932f15ef3842ba91fcf3c59d5dd1f1%7C0%7C0%7C639189511167830353%7CUnknown%7CTWFpbGZsb3d8eyJFbXB0eU1hcGkiOnRydWUsIlYiOiIwLjAuMDAwMCIsIlAiOiJXaW4zMiIsIkFOIjoiTWFpbCIsIldUIjoyfQ%3D%3D%7C0%7C%7C%7C&amp;sdata=Fp0UvHJmTSxgoMW4SFcuTFfmCZDA2ypEFLiRLZ9Y%2B6c%3D&amp;reserved=0" TargetMode="External"/><Relationship Id="rId87" Type="http://schemas.openxmlformats.org/officeDocument/2006/relationships/theme" Target="theme/theme1.xml"/><Relationship Id="rId61" Type="http://schemas.openxmlformats.org/officeDocument/2006/relationships/hyperlink" Target="https://ehs.ucf.edu/forms/controlled-substance-inspection-self-audit-checklist" TargetMode="External"/><Relationship Id="rId82" Type="http://schemas.openxmlformats.org/officeDocument/2006/relationships/hyperlink" Target="mailto:Stephanie.Prine@myfloridalicen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22FD4-AA36-4F1E-9536-75C22B2FF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21</Pages>
  <Words>8166</Words>
  <Characters>46547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SUBJECT:</vt:lpstr>
    </vt:vector>
  </TitlesOfParts>
  <Company>University of Central Florida</Company>
  <LinksUpToDate>false</LinksUpToDate>
  <CharactersWithSpaces>54604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creator>ycook</dc:creator>
  <cp:lastModifiedBy>Melina Kinsey</cp:lastModifiedBy>
  <cp:revision>9</cp:revision>
  <cp:lastPrinted>2026-07-08T15:32:00Z</cp:lastPrinted>
  <dcterms:created xsi:type="dcterms:W3CDTF">2026-07-07T20:44:00Z</dcterms:created>
  <dcterms:modified xsi:type="dcterms:W3CDTF">2026-08-07T17:23:00Z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Acrobat PDFMaker 22 for Word</vt:lpwstr>
  </property>
  <property fmtid="{D5CDD505-2E9C-101B-9397-08002B2CF9AE}" pid="4" name="LastSaved">
    <vt:filetime>2026-07-07T00:00:00Z</vt:filetime>
  </property>
  <property fmtid="{D5CDD505-2E9C-101B-9397-08002B2CF9AE}" pid="5" name="Producer">
    <vt:lpwstr>Adobe PDF Library 22.1.149</vt:lpwstr>
  </property>
  <property fmtid="{D5CDD505-2E9C-101B-9397-08002B2CF9AE}" pid="6" name="SourceModified">
    <vt:lpwstr>D:20220513205036</vt:lpwstr>
  </property>
</Properties>
</file>